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3</w:t>
      </w:r>
      <w:r>
        <w:rPr>
          <w:rFonts w:hint="eastAsia" w:ascii="方正小标宋简体" w:hAnsi="方正小标宋简体" w:eastAsia="方正小标宋简体" w:cs="方正小标宋简体"/>
          <w:sz w:val="44"/>
          <w:szCs w:val="44"/>
        </w:rPr>
        <w:t>年浙江省成人高校招生工作实施方案</w:t>
      </w:r>
    </w:p>
    <w:bookmarkEnd w:id="1"/>
    <w:p>
      <w:pPr>
        <w:pStyle w:val="6"/>
        <w:snapToGrid w:val="0"/>
        <w:spacing w:before="0" w:beforeAutospacing="0" w:after="0" w:afterAutospacing="0" w:line="560" w:lineRule="exact"/>
        <w:ind w:firstLine="3280" w:firstLineChars="1025"/>
        <w:jc w:val="both"/>
        <w:rPr>
          <w:rFonts w:ascii="Times New Roman" w:hAnsi="Times New Roman" w:eastAsia="华文仿宋" w:cs="Times New Roman"/>
          <w:sz w:val="32"/>
          <w:szCs w:val="32"/>
        </w:rPr>
      </w:pPr>
      <w:r>
        <w:rPr>
          <w:rFonts w:ascii="Times New Roman" w:hAnsi="Times New Roman" w:eastAsia="华文仿宋" w:cs="Times New Roman"/>
          <w:sz w:val="32"/>
          <w:szCs w:val="32"/>
        </w:rPr>
        <w:t xml:space="preserve"> </w:t>
      </w:r>
    </w:p>
    <w:p>
      <w:pPr>
        <w:pStyle w:val="6"/>
        <w:adjustRightInd w:val="0"/>
        <w:snapToGrid w:val="0"/>
        <w:spacing w:before="0" w:beforeAutospacing="0" w:after="0" w:afterAutospacing="0" w:line="5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根据《教育部办公厅关于做好2023年全国成人高校招生工作的通知》（教学厅</w:t>
      </w:r>
      <w:r>
        <w:rPr>
          <w:rFonts w:ascii="Times New Roman" w:hAnsi="Times New Roman" w:eastAsia="仿宋" w:cs="Times New Roman"/>
          <w:sz w:val="32"/>
          <w:szCs w:val="32"/>
        </w:rPr>
        <w:t>〔</w:t>
      </w:r>
      <w:r>
        <w:rPr>
          <w:rFonts w:ascii="Times New Roman" w:hAnsi="Times New Roman" w:eastAsia="仿宋_GB2312" w:cs="Times New Roman"/>
          <w:sz w:val="32"/>
          <w:szCs w:val="32"/>
        </w:rPr>
        <w:t>2023</w:t>
      </w:r>
      <w:r>
        <w:rPr>
          <w:rFonts w:ascii="Times New Roman" w:hAnsi="Times New Roman" w:eastAsia="仿宋" w:cs="Times New Roman"/>
          <w:sz w:val="32"/>
          <w:szCs w:val="32"/>
        </w:rPr>
        <w:t>〕</w:t>
      </w:r>
      <w:r>
        <w:rPr>
          <w:rFonts w:hint="eastAsia" w:ascii="Times New Roman" w:hAnsi="Times New Roman" w:eastAsia="仿宋" w:cs="Times New Roman"/>
          <w:sz w:val="32"/>
          <w:szCs w:val="32"/>
        </w:rPr>
        <w:t>7</w:t>
      </w:r>
      <w:r>
        <w:rPr>
          <w:rFonts w:ascii="Times New Roman" w:hAnsi="Times New Roman" w:eastAsia="仿宋_GB2312" w:cs="Times New Roman"/>
          <w:sz w:val="32"/>
          <w:szCs w:val="32"/>
        </w:rPr>
        <w:t>号）精神，结合</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省实际，制定本实施</w:t>
      </w:r>
      <w:r>
        <w:rPr>
          <w:rFonts w:hint="eastAsia" w:ascii="Times New Roman" w:hAnsi="Times New Roman" w:eastAsia="仿宋_GB2312" w:cs="Times New Roman"/>
          <w:sz w:val="32"/>
          <w:szCs w:val="32"/>
        </w:rPr>
        <w:t>方案</w:t>
      </w:r>
      <w:r>
        <w:rPr>
          <w:rFonts w:ascii="Times New Roman" w:hAnsi="Times New Roman" w:eastAsia="仿宋_GB2312" w:cs="Times New Roman"/>
          <w:sz w:val="32"/>
          <w:szCs w:val="32"/>
        </w:rPr>
        <w:t>。</w:t>
      </w:r>
    </w:p>
    <w:p>
      <w:pPr>
        <w:pStyle w:val="6"/>
        <w:adjustRightInd w:val="0"/>
        <w:snapToGrid w:val="0"/>
        <w:spacing w:before="0" w:beforeAutospacing="0" w:after="0" w:afterAutospacing="0" w:line="560" w:lineRule="exact"/>
        <w:ind w:firstLine="640" w:firstLineChars="200"/>
        <w:jc w:val="both"/>
        <w:rPr>
          <w:rFonts w:hint="eastAsia" w:ascii="Times New Roman" w:hAnsi="Times New Roman" w:eastAsia="黑体" w:cs="Times New Roman"/>
          <w:sz w:val="32"/>
          <w:szCs w:val="32"/>
        </w:rPr>
      </w:pPr>
      <w:r>
        <w:rPr>
          <w:rFonts w:ascii="Times New Roman" w:hAnsi="Times New Roman" w:eastAsia="黑体" w:cs="Times New Roman"/>
          <w:sz w:val="32"/>
          <w:szCs w:val="32"/>
        </w:rPr>
        <w:t>一、招生</w:t>
      </w:r>
      <w:r>
        <w:rPr>
          <w:rFonts w:hint="eastAsia" w:ascii="Times New Roman" w:hAnsi="Times New Roman" w:eastAsia="黑体" w:cs="Times New Roman"/>
          <w:sz w:val="32"/>
          <w:szCs w:val="32"/>
        </w:rPr>
        <w:t>学校</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经教育部审定核准举办成人高等学历教育的开放大学、广播电视大学、职工高等学校、职业技术学院、职业技术大学、管理干部学院、教育学院和普通高校成（继）教院等（以下统称成人高校）实行全国统一考试招生。招生类型分高中起点升本科（以下简称高起本）、高中起点升专科（以下简称高起专）和专科起点升本科（以下简称专升本）三种。在校学习形式分脱产、业余和函授三种。脱产最短学习时间为：高起本四年、高起专和专升本两年；业余和函授最短学习时间为：高起本五年、高起专和专升本两年半。</w:t>
      </w:r>
    </w:p>
    <w:p>
      <w:pPr>
        <w:pStyle w:val="4"/>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各成人高校应依照《中华人民共和国教育法》《中华人民共和国高等教育法》和教育部有关招生规定等制订本校招生章程，并以适当方式向社会公布。招生章程必须如实反映本校的实际情况，内容包括招生专业、学习形式、学制和年限、办学地点、录取原则、收费标准以及专业加试科目的时间、地点等。各成人高校应对招生章程内容负责并处理与此相关的遗留问题。</w:t>
      </w:r>
    </w:p>
    <w:p>
      <w:pPr>
        <w:pStyle w:val="6"/>
        <w:adjustRightInd w:val="0"/>
        <w:snapToGrid w:val="0"/>
        <w:spacing w:before="0" w:beforeAutospacing="0" w:after="0" w:afterAutospacing="0" w:line="5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二、招生计划</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（一）成人高校招生来源计划编制工作分为两个阶段。第一阶段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各成人高校根据</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省教育厅审核通过的招生专业，编制确定招生专业目录</w:t>
      </w:r>
      <w:r>
        <w:rPr>
          <w:rFonts w:hint="eastAsia" w:ascii="Times New Roman" w:hAnsi="Times New Roman" w:eastAsia="仿宋_GB2312" w:cs="Times New Roman"/>
          <w:sz w:val="32"/>
          <w:szCs w:val="32"/>
        </w:rPr>
        <w:t>，目录内容</w:t>
      </w:r>
      <w:r>
        <w:rPr>
          <w:rFonts w:ascii="Times New Roman" w:hAnsi="Times New Roman" w:eastAsia="仿宋_GB2312" w:cs="Times New Roman"/>
          <w:sz w:val="32"/>
          <w:szCs w:val="32"/>
        </w:rPr>
        <w:t>包括</w:t>
      </w:r>
      <w:r>
        <w:rPr>
          <w:rFonts w:hint="eastAsia" w:ascii="Times New Roman" w:hAnsi="Times New Roman" w:eastAsia="仿宋_GB2312" w:cs="Times New Roman"/>
          <w:sz w:val="32"/>
          <w:szCs w:val="32"/>
        </w:rPr>
        <w:t>招生</w:t>
      </w:r>
      <w:r>
        <w:rPr>
          <w:rFonts w:ascii="Times New Roman" w:hAnsi="Times New Roman" w:eastAsia="仿宋_GB2312" w:cs="Times New Roman"/>
          <w:sz w:val="32"/>
          <w:szCs w:val="32"/>
        </w:rPr>
        <w:t>专业、层次、学习形式、学制、外语语种、专业加试要求、</w:t>
      </w:r>
      <w:r>
        <w:rPr>
          <w:rFonts w:hint="eastAsia" w:ascii="Times New Roman" w:hAnsi="Times New Roman" w:eastAsia="仿宋_GB2312" w:cs="Times New Roman"/>
          <w:sz w:val="32"/>
          <w:szCs w:val="32"/>
        </w:rPr>
        <w:t>校外教学点（</w:t>
      </w:r>
      <w:r>
        <w:rPr>
          <w:rFonts w:ascii="Times New Roman" w:hAnsi="Times New Roman" w:eastAsia="仿宋_GB2312" w:cs="Times New Roman"/>
          <w:sz w:val="32"/>
          <w:szCs w:val="32"/>
        </w:rPr>
        <w:t>函授站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、授课地点、收费标准等，经</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省教育厅审核报教育部同意后，在浙江省教育考试院官网（网址：www.zjzs.net）公布；招生专业目录公布后不得</w:t>
      </w:r>
      <w:r>
        <w:rPr>
          <w:rFonts w:hint="eastAsia" w:ascii="Times New Roman" w:hAnsi="Times New Roman" w:eastAsia="仿宋_GB2312" w:cs="Times New Roman"/>
          <w:sz w:val="32"/>
          <w:szCs w:val="32"/>
        </w:rPr>
        <w:t>更改；</w:t>
      </w:r>
      <w:r>
        <w:rPr>
          <w:rFonts w:ascii="Times New Roman" w:hAnsi="Times New Roman" w:eastAsia="仿宋_GB2312" w:cs="Times New Roman"/>
          <w:sz w:val="32"/>
          <w:szCs w:val="32"/>
        </w:rPr>
        <w:t>第二阶段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招生院校严格根据</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省教育厅确定的招生规模，结合本校教学、生源等实际情况，按公布的专业目录编制专业招生计划。上年度安排招生计划完成率较低的</w:t>
      </w:r>
      <w:r>
        <w:rPr>
          <w:rFonts w:hint="eastAsia" w:ascii="Times New Roman" w:hAnsi="Times New Roman" w:eastAsia="仿宋_GB2312" w:cs="Times New Roman"/>
          <w:sz w:val="32"/>
          <w:szCs w:val="32"/>
        </w:rPr>
        <w:t>高校</w:t>
      </w:r>
      <w:r>
        <w:rPr>
          <w:rFonts w:ascii="Times New Roman" w:hAnsi="Times New Roman" w:eastAsia="仿宋_GB2312" w:cs="Times New Roman"/>
          <w:sz w:val="32"/>
          <w:szCs w:val="32"/>
        </w:rPr>
        <w:t>，原则上本年度不予增加。</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（二）招生院校要</w:t>
      </w:r>
      <w:r>
        <w:rPr>
          <w:rFonts w:hint="eastAsia" w:ascii="Times New Roman" w:hAnsi="Times New Roman" w:eastAsia="仿宋_GB2312" w:cs="Times New Roman"/>
          <w:sz w:val="32"/>
          <w:szCs w:val="32"/>
        </w:rPr>
        <w:t>严格落实</w:t>
      </w:r>
      <w:r>
        <w:rPr>
          <w:rFonts w:ascii="Times New Roman" w:hAnsi="Times New Roman" w:eastAsia="仿宋_GB2312" w:cs="Times New Roman"/>
          <w:sz w:val="32"/>
          <w:szCs w:val="32"/>
        </w:rPr>
        <w:t>《普通高等学校学历继续教育办学基本要求（试行）》，根据国家经济建设和社会发展需要，以教学质量为核心、办学条件为基础、社会需求为导向，做好招生区域和专业结构的调整，在招生规模内科学合理编制专业计划。要充分体现成人高等教育的特点，严格控制全日制脱产学习的招生规模，适当控制本科高校专科层次招生计划，严格控制省重点建设高校招生计划。</w:t>
      </w:r>
    </w:p>
    <w:p>
      <w:pPr>
        <w:pStyle w:val="4"/>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招生计划要以业余学习形式为主，业余形式招生计划不得安排跨省招生，培养地点须在学校所在地。普通高校不得安排脱产形式招生计划，独立设置成人高校的脱产学习计划要根据具体行业需求合理确定。函授学习形式招生计划只能在已经按规定履行过校外教学点（函授站）登记手续，并经相关省级教育行政部门审核备案的省（市、区）安排。医学门类中的临床医学、口腔医学、中医学、藏医学、蒙医学、维吾尔医学、针灸推拿学、预防医学、麻醉学、医学影像学和医学检验等专业不得安排函授招生计划。艺术类、外语类专业安排函授招生计划须经教育部审核备案。高中起点本科计划原则上不超过学校本科计划的15%。</w:t>
      </w:r>
    </w:p>
    <w:p>
      <w:pPr>
        <w:pStyle w:val="4"/>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（四）继续实行网上编制和管理招生计划。编制、上报、审核、汇总、分送、调整、执行管理等工作按教育部有关要求通过</w:t>
      </w:r>
      <w:r>
        <w:rPr>
          <w:rFonts w:hint="eastAsia" w:ascii="Times New Roman" w:hAnsi="Times New Roman" w:eastAsia="仿宋_GB2312"/>
          <w:sz w:val="32"/>
          <w:szCs w:val="32"/>
        </w:rPr>
        <w:t>教育部计划来源网</w:t>
      </w:r>
      <w:r>
        <w:rPr>
          <w:rFonts w:ascii="Times New Roman" w:hAnsi="Times New Roman" w:eastAsia="仿宋_GB2312"/>
          <w:sz w:val="32"/>
          <w:szCs w:val="32"/>
        </w:rPr>
        <w:t>进行。各成人高校必须</w:t>
      </w:r>
      <w:r>
        <w:rPr>
          <w:rFonts w:hint="eastAsia" w:ascii="Times New Roman" w:hAnsi="Times New Roman" w:eastAsia="仿宋_GB2312"/>
          <w:sz w:val="32"/>
          <w:szCs w:val="32"/>
        </w:rPr>
        <w:t>通过</w:t>
      </w:r>
      <w:r>
        <w:rPr>
          <w:rFonts w:ascii="Times New Roman" w:hAnsi="Times New Roman" w:eastAsia="仿宋_GB2312"/>
          <w:sz w:val="32"/>
          <w:szCs w:val="32"/>
        </w:rPr>
        <w:t>网上系统全口径编制分省计划（包括省属高校在本省招生的分专业计划），并按隶属关系和有关规定将今年的招生计划报教育部、省教育厅审核批准，正式纳入国家和浙江省成人高校招生计划。</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（五）招生院校分专业招生计划须通过浙江省教育考试院官网统一向社会公布；未经浙江省教育考试院官网向社会公布的院校和专业不得招生；未经批准，不得无计划、超计划或减计划招生。</w:t>
      </w:r>
    </w:p>
    <w:p>
      <w:pPr>
        <w:pStyle w:val="6"/>
        <w:adjustRightInd w:val="0"/>
        <w:snapToGrid w:val="0"/>
        <w:spacing w:before="0" w:beforeAutospacing="0" w:after="0" w:afterAutospacing="0" w:line="500" w:lineRule="exact"/>
        <w:ind w:firstLine="616"/>
        <w:jc w:val="both"/>
        <w:rPr>
          <w:rFonts w:ascii="Times New Roman" w:hAnsi="Times New Roman" w:eastAsia="黑体" w:cs="Times New Roman"/>
          <w:sz w:val="32"/>
          <w:szCs w:val="32"/>
        </w:rPr>
      </w:pPr>
      <w:r>
        <w:rPr>
          <w:rFonts w:ascii="Times New Roman" w:hAnsi="Times New Roman" w:eastAsia="黑体" w:cs="Times New Roman"/>
          <w:sz w:val="32"/>
          <w:szCs w:val="32"/>
        </w:rPr>
        <w:t>三、报考条件</w:t>
      </w:r>
    </w:p>
    <w:p>
      <w:pPr>
        <w:pStyle w:val="6"/>
        <w:adjustRightInd w:val="0"/>
        <w:snapToGrid w:val="0"/>
        <w:spacing w:before="0" w:beforeAutospacing="0" w:after="0" w:afterAutospacing="0" w:line="560" w:lineRule="exact"/>
        <w:ind w:firstLine="616"/>
        <w:jc w:val="both"/>
        <w:rPr>
          <w:rFonts w:ascii="Times New Roman" w:hAnsi="Times New Roman" w:eastAsia="仿宋_GB2312"/>
          <w:sz w:val="32"/>
          <w:szCs w:val="32"/>
        </w:rPr>
      </w:pPr>
      <w:r>
        <w:rPr>
          <w:rFonts w:ascii="Times New Roman" w:hAnsi="Times New Roman" w:eastAsia="仿宋_GB2312"/>
          <w:sz w:val="32"/>
          <w:szCs w:val="32"/>
        </w:rPr>
        <w:t>（一）符合下列条件的中国公民可以报考：</w:t>
      </w:r>
    </w:p>
    <w:p>
      <w:pPr>
        <w:pStyle w:val="6"/>
        <w:adjustRightInd w:val="0"/>
        <w:snapToGrid w:val="0"/>
        <w:spacing w:before="0" w:beforeAutospacing="0" w:after="0" w:afterAutospacing="0" w:line="560" w:lineRule="exact"/>
        <w:jc w:val="both"/>
        <w:rPr>
          <w:rFonts w:ascii="Times New Roman" w:hAnsi="Times New Roman" w:eastAsia="仿宋_GB2312"/>
          <w:sz w:val="32"/>
          <w:szCs w:val="32"/>
        </w:rPr>
      </w:pPr>
      <w:r>
        <w:rPr>
          <w:rFonts w:ascii="Times New Roman" w:hAnsi="Times New Roman" w:eastAsia="仿宋_GB2312"/>
          <w:sz w:val="32"/>
          <w:szCs w:val="32"/>
        </w:rPr>
        <w:t xml:space="preserve">    1.遵守中华人民共和国宪法和法律。</w:t>
      </w:r>
    </w:p>
    <w:p>
      <w:pPr>
        <w:pStyle w:val="6"/>
        <w:adjustRightInd w:val="0"/>
        <w:snapToGrid w:val="0"/>
        <w:spacing w:before="0" w:beforeAutospacing="0" w:after="0" w:afterAutospacing="0" w:line="560" w:lineRule="exact"/>
        <w:ind w:firstLine="640"/>
        <w:jc w:val="both"/>
        <w:rPr>
          <w:rFonts w:ascii="Times New Roman" w:hAnsi="Times New Roman" w:eastAsia="仿宋_GB2312"/>
          <w:sz w:val="32"/>
          <w:szCs w:val="32"/>
        </w:rPr>
      </w:pPr>
      <w:r>
        <w:rPr>
          <w:rFonts w:ascii="Times New Roman" w:hAnsi="Times New Roman" w:eastAsia="仿宋_GB2312"/>
          <w:sz w:val="32"/>
          <w:szCs w:val="32"/>
        </w:rPr>
        <w:t>2.国家承认学历的各类高、中等学校在校生以外的从业人员和社会其他人员。</w:t>
      </w:r>
    </w:p>
    <w:p>
      <w:pPr>
        <w:pStyle w:val="6"/>
        <w:adjustRightInd w:val="0"/>
        <w:snapToGrid w:val="0"/>
        <w:spacing w:before="0" w:beforeAutospacing="0" w:after="0" w:afterAutospacing="0" w:line="560" w:lineRule="exact"/>
        <w:ind w:firstLine="640"/>
        <w:jc w:val="both"/>
        <w:rPr>
          <w:rFonts w:ascii="Times New Roman" w:hAnsi="Times New Roman" w:eastAsia="仿宋_GB2312"/>
          <w:sz w:val="32"/>
          <w:szCs w:val="32"/>
        </w:rPr>
      </w:pPr>
      <w:r>
        <w:rPr>
          <w:rFonts w:ascii="Times New Roman" w:hAnsi="Times New Roman" w:eastAsia="仿宋_GB2312"/>
          <w:sz w:val="32"/>
          <w:szCs w:val="32"/>
        </w:rPr>
        <w:t>3.身体健康，生活能自理，不影响所报专业学习。</w:t>
      </w:r>
    </w:p>
    <w:p>
      <w:pPr>
        <w:pStyle w:val="6"/>
        <w:adjustRightInd w:val="0"/>
        <w:snapToGrid w:val="0"/>
        <w:spacing w:before="0" w:beforeAutospacing="0" w:after="0" w:afterAutospacing="0" w:line="560" w:lineRule="exact"/>
        <w:ind w:firstLine="640"/>
        <w:jc w:val="both"/>
        <w:rPr>
          <w:rFonts w:ascii="Times New Roman" w:hAnsi="Times New Roman" w:eastAsia="仿宋_GB2312"/>
          <w:sz w:val="32"/>
          <w:szCs w:val="32"/>
        </w:rPr>
      </w:pPr>
      <w:r>
        <w:rPr>
          <w:rFonts w:ascii="Times New Roman" w:hAnsi="Times New Roman" w:eastAsia="仿宋_GB2312"/>
          <w:sz w:val="32"/>
          <w:szCs w:val="32"/>
        </w:rPr>
        <w:t>4.报考高起本或高起专的考生应高级中等教育学校毕业或者具有同等学力。报考专升本的考生必须是已取得经教育部审定核准的国民教育系列高等学校、高等教育自学考试机构颁发的专科毕业证书、本科结业证书或以上证书的人员。</w:t>
      </w:r>
    </w:p>
    <w:p>
      <w:pPr>
        <w:pStyle w:val="6"/>
        <w:adjustRightInd w:val="0"/>
        <w:snapToGrid w:val="0"/>
        <w:spacing w:before="0" w:beforeAutospacing="0" w:after="0" w:afterAutospacing="0" w:line="560" w:lineRule="exact"/>
        <w:ind w:firstLine="640"/>
        <w:jc w:val="both"/>
        <w:rPr>
          <w:rFonts w:ascii="Times New Roman" w:hAnsi="Times New Roman" w:eastAsia="仿宋_GB2312"/>
          <w:sz w:val="32"/>
          <w:szCs w:val="32"/>
        </w:rPr>
      </w:pPr>
      <w:r>
        <w:rPr>
          <w:rFonts w:ascii="Times New Roman" w:hAnsi="Times New Roman" w:eastAsia="仿宋_GB2312"/>
          <w:sz w:val="32"/>
          <w:szCs w:val="32"/>
        </w:rPr>
        <w:t>5.报考医学门类专业的考生还应具备以下条件：</w:t>
      </w:r>
    </w:p>
    <w:p>
      <w:pPr>
        <w:pStyle w:val="6"/>
        <w:adjustRightInd w:val="0"/>
        <w:snapToGrid w:val="0"/>
        <w:spacing w:before="0" w:beforeAutospacing="0" w:after="0" w:afterAutospacing="0" w:line="560" w:lineRule="exact"/>
        <w:ind w:firstLine="640"/>
        <w:jc w:val="both"/>
        <w:rPr>
          <w:rFonts w:ascii="Times New Roman" w:hAnsi="Times New Roman" w:eastAsia="仿宋_GB2312"/>
          <w:sz w:val="32"/>
          <w:szCs w:val="32"/>
        </w:rPr>
      </w:pPr>
      <w:r>
        <w:rPr>
          <w:rFonts w:ascii="Times New Roman" w:hAnsi="Times New Roman" w:eastAsia="仿宋_GB2312"/>
          <w:sz w:val="32"/>
          <w:szCs w:val="32"/>
        </w:rPr>
        <w:t>（1）报考临床医学、口腔医学、预防医学、中医学等临床类专业的考生，需取得省级</w:t>
      </w:r>
      <w:r>
        <w:rPr>
          <w:rFonts w:hint="eastAsia" w:ascii="Times New Roman" w:hAnsi="Times New Roman" w:eastAsia="仿宋_GB2312"/>
          <w:sz w:val="32"/>
          <w:szCs w:val="32"/>
        </w:rPr>
        <w:t>卫生健康行政部门</w:t>
      </w:r>
      <w:r>
        <w:rPr>
          <w:rFonts w:ascii="Times New Roman" w:hAnsi="Times New Roman" w:eastAsia="仿宋_GB2312"/>
          <w:sz w:val="32"/>
          <w:szCs w:val="32"/>
        </w:rPr>
        <w:t>颁发的相应类别的执业助理医师及以上资格证书或取得国家认可的普通中专及以上相应专业学历；或者县级及以上</w:t>
      </w:r>
      <w:r>
        <w:rPr>
          <w:rFonts w:hint="eastAsia" w:ascii="Times New Roman" w:hAnsi="Times New Roman" w:eastAsia="仿宋_GB2312"/>
          <w:sz w:val="32"/>
          <w:szCs w:val="32"/>
        </w:rPr>
        <w:t>卫生健康行政部门</w:t>
      </w:r>
      <w:r>
        <w:rPr>
          <w:rFonts w:ascii="Times New Roman" w:hAnsi="Times New Roman" w:eastAsia="仿宋_GB2312"/>
          <w:sz w:val="32"/>
          <w:szCs w:val="32"/>
        </w:rPr>
        <w:t>颁发的乡村医生执业证书并具有中专学历或中专水平证书。</w:t>
      </w:r>
    </w:p>
    <w:p>
      <w:pPr>
        <w:pStyle w:val="6"/>
        <w:adjustRightInd w:val="0"/>
        <w:snapToGrid w:val="0"/>
        <w:spacing w:before="0" w:beforeAutospacing="0" w:after="0" w:afterAutospacing="0" w:line="560" w:lineRule="exact"/>
        <w:ind w:firstLine="616"/>
        <w:jc w:val="both"/>
        <w:rPr>
          <w:rFonts w:ascii="Times New Roman" w:hAnsi="Times New Roman" w:eastAsia="仿宋_GB2312"/>
          <w:sz w:val="32"/>
          <w:szCs w:val="32"/>
        </w:rPr>
      </w:pPr>
      <w:r>
        <w:rPr>
          <w:rFonts w:ascii="Times New Roman" w:hAnsi="Times New Roman" w:eastAsia="仿宋_GB2312"/>
          <w:sz w:val="32"/>
          <w:szCs w:val="32"/>
        </w:rPr>
        <w:t>（2）报考护理学专业的考生应当取得省级</w:t>
      </w:r>
      <w:r>
        <w:rPr>
          <w:rFonts w:hint="eastAsia" w:ascii="Times New Roman" w:hAnsi="Times New Roman" w:eastAsia="仿宋_GB2312"/>
          <w:sz w:val="32"/>
          <w:szCs w:val="32"/>
        </w:rPr>
        <w:t>卫生健康行政部门</w:t>
      </w:r>
      <w:r>
        <w:rPr>
          <w:rFonts w:ascii="Times New Roman" w:hAnsi="Times New Roman" w:eastAsia="仿宋_GB2312"/>
          <w:sz w:val="32"/>
          <w:szCs w:val="32"/>
        </w:rPr>
        <w:t>颁发的执业护士证书</w:t>
      </w:r>
      <w:r>
        <w:rPr>
          <w:rFonts w:hint="eastAsia" w:ascii="Times New Roman" w:hAnsi="Times New Roman" w:eastAsia="仿宋_GB2312"/>
          <w:sz w:val="32"/>
          <w:szCs w:val="32"/>
        </w:rPr>
        <w:t>（护理学卫生专业技术资格、护士执业资格考试成绩合格证明等均不能作为执业护士证书）</w:t>
      </w:r>
      <w:r>
        <w:rPr>
          <w:rFonts w:ascii="Times New Roman" w:hAnsi="Times New Roman" w:eastAsia="仿宋_GB2312"/>
          <w:sz w:val="32"/>
          <w:szCs w:val="32"/>
        </w:rPr>
        <w:t>。</w:t>
      </w:r>
    </w:p>
    <w:p>
      <w:pPr>
        <w:pStyle w:val="6"/>
        <w:adjustRightInd w:val="0"/>
        <w:snapToGrid w:val="0"/>
        <w:spacing w:before="0" w:beforeAutospacing="0" w:after="0" w:afterAutospacing="0" w:line="560" w:lineRule="exact"/>
        <w:ind w:firstLine="616"/>
        <w:jc w:val="both"/>
        <w:rPr>
          <w:rFonts w:ascii="Times New Roman" w:hAnsi="Times New Roman" w:eastAsia="仿宋_GB2312"/>
          <w:sz w:val="32"/>
          <w:szCs w:val="32"/>
        </w:rPr>
      </w:pPr>
      <w:r>
        <w:rPr>
          <w:rFonts w:ascii="Times New Roman" w:hAnsi="Times New Roman" w:eastAsia="仿宋_GB2312"/>
          <w:sz w:val="32"/>
          <w:szCs w:val="32"/>
        </w:rPr>
        <w:t>（3）报考医学门类其他专业</w:t>
      </w:r>
      <w:r>
        <w:rPr>
          <w:rFonts w:hint="eastAsia" w:ascii="Times New Roman" w:hAnsi="Times New Roman" w:eastAsia="仿宋_GB2312"/>
          <w:sz w:val="32"/>
          <w:szCs w:val="32"/>
        </w:rPr>
        <w:t>（含中药学类、药学类）</w:t>
      </w:r>
      <w:r>
        <w:rPr>
          <w:rFonts w:ascii="Times New Roman" w:hAnsi="Times New Roman" w:eastAsia="仿宋_GB2312"/>
          <w:sz w:val="32"/>
          <w:szCs w:val="32"/>
        </w:rPr>
        <w:t>的考生应当是从事卫生、医药行业工作的在职专业技术人员。</w:t>
      </w:r>
    </w:p>
    <w:p>
      <w:pPr>
        <w:pStyle w:val="6"/>
        <w:adjustRightInd w:val="0"/>
        <w:snapToGrid w:val="0"/>
        <w:spacing w:before="0" w:beforeAutospacing="0" w:after="0" w:afterAutospacing="0" w:line="560" w:lineRule="exact"/>
        <w:ind w:firstLine="616"/>
        <w:jc w:val="both"/>
        <w:rPr>
          <w:rFonts w:ascii="Times New Roman" w:hAnsi="Times New Roman" w:eastAsia="仿宋_GB2312"/>
          <w:sz w:val="32"/>
          <w:szCs w:val="32"/>
        </w:rPr>
      </w:pPr>
      <w:r>
        <w:rPr>
          <w:rFonts w:ascii="Times New Roman" w:hAnsi="Times New Roman" w:eastAsia="仿宋_GB2312"/>
          <w:sz w:val="32"/>
          <w:szCs w:val="32"/>
        </w:rPr>
        <w:t>（4）考生报考的专业原则上应与所从事的</w:t>
      </w:r>
      <w:r>
        <w:rPr>
          <w:rFonts w:hint="eastAsia" w:ascii="Times New Roman" w:hAnsi="Times New Roman" w:eastAsia="仿宋_GB2312"/>
          <w:sz w:val="32"/>
          <w:szCs w:val="32"/>
        </w:rPr>
        <w:t>专业</w:t>
      </w:r>
      <w:r>
        <w:rPr>
          <w:rFonts w:ascii="Times New Roman" w:hAnsi="Times New Roman" w:eastAsia="仿宋_GB2312"/>
          <w:sz w:val="32"/>
          <w:szCs w:val="32"/>
        </w:rPr>
        <w:t>对口。</w:t>
      </w:r>
    </w:p>
    <w:p>
      <w:pPr>
        <w:pStyle w:val="6"/>
        <w:numPr>
          <w:ilvl w:val="0"/>
          <w:numId w:val="1"/>
        </w:numPr>
        <w:adjustRightInd w:val="0"/>
        <w:snapToGrid w:val="0"/>
        <w:spacing w:before="0" w:beforeAutospacing="0" w:after="0" w:afterAutospacing="0" w:line="560" w:lineRule="exact"/>
        <w:ind w:firstLine="616"/>
        <w:jc w:val="both"/>
        <w:rPr>
          <w:rFonts w:ascii="Times New Roman" w:hAnsi="Times New Roman" w:eastAsia="仿宋_GB2312"/>
          <w:sz w:val="32"/>
          <w:szCs w:val="32"/>
        </w:rPr>
      </w:pPr>
      <w:r>
        <w:rPr>
          <w:rFonts w:ascii="Times New Roman" w:hAnsi="Times New Roman" w:eastAsia="仿宋_GB2312"/>
          <w:sz w:val="32"/>
          <w:szCs w:val="32"/>
        </w:rPr>
        <w:t>在中国定居并符合上述报名条件的港澳居民持《港澳居民来往内地通行证》或《港澳居民居住证》、台湾居民持《台湾居民来往大陆通行证》或《台湾居民居住证》、外国侨民持《外国人永久居留身份证》，在居住或工作所在地的当地招生考试机构报名。</w:t>
      </w:r>
    </w:p>
    <w:p>
      <w:pPr>
        <w:pStyle w:val="6"/>
        <w:numPr>
          <w:ilvl w:val="0"/>
          <w:numId w:val="1"/>
        </w:numPr>
        <w:adjustRightInd w:val="0"/>
        <w:snapToGrid w:val="0"/>
        <w:spacing w:before="0" w:beforeAutospacing="0" w:after="0" w:afterAutospacing="0" w:line="560" w:lineRule="exact"/>
        <w:ind w:firstLine="616"/>
        <w:jc w:val="both"/>
        <w:rPr>
          <w:rFonts w:ascii="Times New Roman" w:hAnsi="Times New Roman" w:eastAsia="仿宋_GB2312"/>
          <w:sz w:val="32"/>
          <w:szCs w:val="32"/>
        </w:rPr>
      </w:pPr>
      <w:r>
        <w:rPr>
          <w:rFonts w:ascii="Times New Roman" w:hAnsi="Times New Roman" w:eastAsia="仿宋_GB2312"/>
          <w:sz w:val="32"/>
          <w:szCs w:val="32"/>
        </w:rPr>
        <w:t>考生一般应</w:t>
      </w:r>
      <w:r>
        <w:rPr>
          <w:rFonts w:hint="eastAsia" w:ascii="Times New Roman" w:hAnsi="Times New Roman" w:eastAsia="仿宋_GB2312"/>
          <w:sz w:val="32"/>
          <w:szCs w:val="32"/>
        </w:rPr>
        <w:t>当</w:t>
      </w:r>
      <w:r>
        <w:rPr>
          <w:rFonts w:ascii="Times New Roman" w:hAnsi="Times New Roman" w:eastAsia="仿宋_GB2312"/>
          <w:sz w:val="32"/>
          <w:szCs w:val="32"/>
        </w:rPr>
        <w:t>在户口所在地报名并参加考试。本省户籍考生凭有效居民身份证，原则上在户籍所在地的当地招生考试机构报名，如因工作原因确需跨市、县报名，须出具报名所在地</w:t>
      </w:r>
      <w:r>
        <w:rPr>
          <w:rFonts w:hint="eastAsia" w:ascii="Times New Roman" w:hAnsi="Times New Roman" w:eastAsia="仿宋_GB2312"/>
          <w:sz w:val="32"/>
          <w:szCs w:val="32"/>
        </w:rPr>
        <w:t>三个月及以上（近半年内）的</w:t>
      </w:r>
      <w:r>
        <w:rPr>
          <w:rFonts w:ascii="Times New Roman" w:hAnsi="Times New Roman" w:eastAsia="仿宋_GB2312"/>
          <w:sz w:val="32"/>
          <w:szCs w:val="32"/>
        </w:rPr>
        <w:t>社保证明。外省户籍考生</w:t>
      </w:r>
      <w:r>
        <w:rPr>
          <w:rFonts w:hint="eastAsia" w:ascii="Times New Roman" w:hAnsi="Times New Roman" w:eastAsia="仿宋_GB2312"/>
          <w:sz w:val="32"/>
          <w:szCs w:val="32"/>
        </w:rPr>
        <w:t>若因工作等原因需在我省报名，可</w:t>
      </w:r>
      <w:r>
        <w:rPr>
          <w:rFonts w:ascii="Times New Roman" w:hAnsi="Times New Roman" w:eastAsia="仿宋_GB2312"/>
          <w:sz w:val="32"/>
          <w:szCs w:val="32"/>
        </w:rPr>
        <w:t>凭</w:t>
      </w:r>
      <w:r>
        <w:rPr>
          <w:rFonts w:hint="eastAsia" w:ascii="Times New Roman" w:hAnsi="Times New Roman" w:eastAsia="仿宋_GB2312"/>
          <w:sz w:val="32"/>
          <w:szCs w:val="32"/>
        </w:rPr>
        <w:t>有效期内的浙江</w:t>
      </w:r>
      <w:r>
        <w:rPr>
          <w:rFonts w:ascii="Times New Roman" w:hAnsi="Times New Roman" w:eastAsia="仿宋_GB2312"/>
          <w:sz w:val="32"/>
          <w:szCs w:val="32"/>
        </w:rPr>
        <w:t>省居住证</w:t>
      </w:r>
      <w:r>
        <w:rPr>
          <w:rFonts w:hint="eastAsia" w:ascii="Times New Roman" w:hAnsi="Times New Roman" w:eastAsia="仿宋_GB2312"/>
          <w:sz w:val="32"/>
          <w:szCs w:val="32"/>
        </w:rPr>
        <w:t>或</w:t>
      </w:r>
      <w:r>
        <w:rPr>
          <w:rFonts w:ascii="Times New Roman" w:hAnsi="Times New Roman" w:eastAsia="仿宋_GB2312"/>
          <w:sz w:val="32"/>
          <w:szCs w:val="32"/>
        </w:rPr>
        <w:t>报名所在地</w:t>
      </w:r>
      <w:r>
        <w:rPr>
          <w:rFonts w:hint="eastAsia" w:ascii="Times New Roman" w:hAnsi="Times New Roman" w:eastAsia="仿宋_GB2312"/>
          <w:sz w:val="32"/>
          <w:szCs w:val="32"/>
        </w:rPr>
        <w:t>六个月及以上（近一年内）的</w:t>
      </w:r>
      <w:r>
        <w:rPr>
          <w:rFonts w:ascii="Times New Roman" w:hAnsi="Times New Roman" w:eastAsia="仿宋_GB2312"/>
          <w:sz w:val="32"/>
          <w:szCs w:val="32"/>
        </w:rPr>
        <w:t>社保证明在居住或工作所在地的招生考试机构报名。所有参加统考和免试入学的考生均需办理报名手续。</w:t>
      </w:r>
    </w:p>
    <w:p>
      <w:pPr>
        <w:pStyle w:val="4"/>
        <w:spacing w:line="560" w:lineRule="exact"/>
        <w:ind w:firstLine="640" w:firstLineChars="200"/>
        <w:rPr>
          <w:rFonts w:ascii="Times New Roman" w:hAnsi="Times New Roman" w:eastAsia="仿宋_GB2312"/>
          <w:sz w:val="32"/>
          <w:szCs w:val="32"/>
        </w:rPr>
      </w:pPr>
      <w:r>
        <w:rPr>
          <w:rFonts w:ascii="Times New Roman" w:hAnsi="Times New Roman" w:eastAsia="仿宋_GB2312" w:cs="新宋体-18030"/>
          <w:sz w:val="32"/>
          <w:szCs w:val="32"/>
        </w:rPr>
        <w:t>（</w:t>
      </w:r>
      <w:r>
        <w:rPr>
          <w:rFonts w:hint="eastAsia" w:ascii="Times New Roman" w:hAnsi="Times New Roman" w:eastAsia="仿宋_GB2312" w:cs="新宋体-18030"/>
          <w:sz w:val="32"/>
          <w:szCs w:val="32"/>
        </w:rPr>
        <w:t>四</w:t>
      </w:r>
      <w:r>
        <w:rPr>
          <w:rFonts w:ascii="Times New Roman" w:hAnsi="Times New Roman" w:eastAsia="仿宋_GB2312" w:cs="新宋体-18030"/>
          <w:sz w:val="32"/>
          <w:szCs w:val="32"/>
        </w:rPr>
        <w:t>）各级招生考试机构和各成人高校要加强考生的诚信教育。考生应自主诚信报考，报名时所填写内容、提供的相关材料应客观、真实、准确，参加考试招生时遵守有关管理规定。</w:t>
      </w:r>
    </w:p>
    <w:p>
      <w:pPr>
        <w:pStyle w:val="6"/>
        <w:adjustRightInd w:val="0"/>
        <w:snapToGrid w:val="0"/>
        <w:spacing w:before="0" w:beforeAutospacing="0" w:after="0" w:afterAutospacing="0" w:line="500" w:lineRule="exact"/>
        <w:ind w:firstLine="616"/>
        <w:jc w:val="both"/>
        <w:rPr>
          <w:rFonts w:ascii="Times New Roman" w:hAnsi="Times New Roman" w:eastAsia="黑体" w:cs="Times New Roman"/>
          <w:sz w:val="32"/>
          <w:szCs w:val="32"/>
        </w:rPr>
      </w:pPr>
      <w:r>
        <w:rPr>
          <w:rFonts w:ascii="Times New Roman" w:hAnsi="Times New Roman" w:eastAsia="黑体" w:cs="Times New Roman"/>
          <w:sz w:val="32"/>
          <w:szCs w:val="32"/>
        </w:rPr>
        <w:t>四、报名和志愿填报</w:t>
      </w:r>
    </w:p>
    <w:p>
      <w:pPr>
        <w:pStyle w:val="6"/>
        <w:adjustRightInd w:val="0"/>
        <w:snapToGrid w:val="0"/>
        <w:spacing w:before="0" w:beforeAutospacing="0" w:after="0" w:afterAutospacing="0" w:line="560" w:lineRule="exact"/>
        <w:ind w:firstLine="616"/>
        <w:jc w:val="both"/>
        <w:rPr>
          <w:rFonts w:ascii="Times New Roman" w:hAnsi="Times New Roman" w:eastAsia="仿宋_GB2312"/>
          <w:sz w:val="32"/>
          <w:szCs w:val="32"/>
        </w:rPr>
      </w:pPr>
      <w:r>
        <w:rPr>
          <w:rFonts w:ascii="Times New Roman" w:hAnsi="Times New Roman" w:eastAsia="仿宋_GB2312"/>
          <w:sz w:val="32"/>
          <w:szCs w:val="32"/>
        </w:rPr>
        <w:t>实行网上报名和填报志愿、网上缴费、考试结束后网上确认志愿的方式。</w:t>
      </w:r>
    </w:p>
    <w:p>
      <w:pPr>
        <w:pStyle w:val="6"/>
        <w:adjustRightInd w:val="0"/>
        <w:snapToGrid w:val="0"/>
        <w:spacing w:before="0" w:beforeAutospacing="0" w:after="0" w:afterAutospacing="0" w:line="560" w:lineRule="exact"/>
        <w:jc w:val="both"/>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楷体"/>
          <w:sz w:val="32"/>
          <w:szCs w:val="32"/>
        </w:rPr>
        <w:t>（一）网上报名和填报志愿</w:t>
      </w:r>
    </w:p>
    <w:p>
      <w:pPr>
        <w:pStyle w:val="6"/>
        <w:adjustRightInd w:val="0"/>
        <w:snapToGrid w:val="0"/>
        <w:spacing w:before="0" w:beforeAutospacing="0" w:after="0" w:afterAutospacing="0" w:line="560" w:lineRule="exact"/>
        <w:jc w:val="both"/>
        <w:rPr>
          <w:rFonts w:ascii="Times New Roman" w:hAnsi="Times New Roman" w:eastAsia="仿宋_GB2312"/>
          <w:spacing w:val="-6"/>
          <w:sz w:val="32"/>
          <w:szCs w:val="32"/>
        </w:rPr>
      </w:pPr>
      <w:r>
        <w:rPr>
          <w:rFonts w:ascii="Times New Roman" w:hAnsi="Times New Roman" w:eastAsia="仿宋_GB2312"/>
          <w:sz w:val="32"/>
          <w:szCs w:val="32"/>
        </w:rPr>
        <w:t xml:space="preserve">   </w:t>
      </w:r>
      <w:r>
        <w:rPr>
          <w:rFonts w:hint="eastAsia" w:ascii="Times New Roman" w:hAnsi="Times New Roman" w:eastAsia="仿宋_GB2312"/>
          <w:spacing w:val="-6"/>
          <w:sz w:val="32"/>
          <w:szCs w:val="32"/>
        </w:rPr>
        <w:t>网上报名和填报志愿</w:t>
      </w:r>
      <w:r>
        <w:rPr>
          <w:rFonts w:ascii="Times New Roman" w:hAnsi="Times New Roman" w:eastAsia="仿宋_GB2312"/>
          <w:spacing w:val="-6"/>
          <w:sz w:val="32"/>
          <w:szCs w:val="32"/>
        </w:rPr>
        <w:t>时间为</w:t>
      </w:r>
      <w:r>
        <w:rPr>
          <w:rFonts w:hint="eastAsia" w:ascii="Times New Roman" w:hAnsi="Times New Roman" w:eastAsia="仿宋_GB2312"/>
          <w:spacing w:val="-6"/>
          <w:sz w:val="32"/>
          <w:szCs w:val="32"/>
        </w:rPr>
        <w:t>9月5日8:30至9月15日17:00，</w:t>
      </w:r>
      <w:r>
        <w:rPr>
          <w:rFonts w:ascii="Times New Roman" w:hAnsi="Times New Roman" w:eastAsia="仿宋_GB2312"/>
          <w:spacing w:val="-6"/>
          <w:sz w:val="32"/>
          <w:szCs w:val="32"/>
        </w:rPr>
        <w:t>考生登录浙江省教育考试院官网（www.zjzs.net）成人高校招生报名系统进行。</w:t>
      </w:r>
    </w:p>
    <w:p>
      <w:pPr>
        <w:pStyle w:val="6"/>
        <w:adjustRightInd w:val="0"/>
        <w:snapToGrid w:val="0"/>
        <w:spacing w:before="0" w:beforeAutospacing="0" w:after="0" w:afterAutospacing="0" w:line="560" w:lineRule="exact"/>
        <w:ind w:firstLine="616" w:firstLineChars="200"/>
        <w:jc w:val="both"/>
        <w:rPr>
          <w:rFonts w:hint="eastAsia" w:ascii="Times New Roman" w:hAnsi="Times New Roman" w:eastAsia="仿宋_GB2312"/>
          <w:color w:val="0000FF"/>
          <w:spacing w:val="-6"/>
          <w:sz w:val="32"/>
          <w:szCs w:val="32"/>
        </w:rPr>
      </w:pPr>
      <w:r>
        <w:rPr>
          <w:rFonts w:ascii="Times New Roman" w:hAnsi="Times New Roman" w:eastAsia="仿宋_GB2312"/>
          <w:spacing w:val="-6"/>
          <w:sz w:val="32"/>
          <w:szCs w:val="32"/>
        </w:rPr>
        <w:t>考生须认真阅读《报考须知》，网上签订《考生诚信</w:t>
      </w:r>
      <w:r>
        <w:rPr>
          <w:rFonts w:hint="eastAsia" w:ascii="Times New Roman" w:hAnsi="Times New Roman" w:eastAsia="仿宋_GB2312"/>
          <w:spacing w:val="-6"/>
          <w:sz w:val="32"/>
          <w:szCs w:val="32"/>
        </w:rPr>
        <w:t>考试</w:t>
      </w:r>
      <w:r>
        <w:rPr>
          <w:rFonts w:ascii="Times New Roman" w:hAnsi="Times New Roman" w:eastAsia="仿宋_GB2312"/>
          <w:spacing w:val="-6"/>
          <w:sz w:val="32"/>
          <w:szCs w:val="32"/>
        </w:rPr>
        <w:t>承诺书》，按规定输入报名信息，根据公布的招生院校专业目录填报院校和专业志愿（可填报相应层次和科类的1所院校2个专业志愿），并按系统要求上传本人照片、相关职业资格证书及证明材料</w:t>
      </w:r>
      <w:r>
        <w:rPr>
          <w:rFonts w:hint="eastAsia" w:ascii="Times New Roman" w:hAnsi="Times New Roman" w:eastAsia="仿宋_GB2312"/>
          <w:spacing w:val="-6"/>
          <w:sz w:val="32"/>
          <w:szCs w:val="32"/>
        </w:rPr>
        <w:t>〔</w:t>
      </w:r>
      <w:r>
        <w:rPr>
          <w:rFonts w:ascii="Times New Roman" w:hAnsi="Times New Roman" w:eastAsia="仿宋_GB2312"/>
          <w:sz w:val="32"/>
          <w:szCs w:val="32"/>
        </w:rPr>
        <w:t>其中在职中小学教师</w:t>
      </w:r>
      <w:r>
        <w:rPr>
          <w:rFonts w:hint="eastAsia" w:ascii="Times New Roman" w:hAnsi="Times New Roman" w:eastAsia="仿宋_GB2312"/>
          <w:sz w:val="32"/>
          <w:szCs w:val="32"/>
        </w:rPr>
        <w:t>（含幼儿园教师）</w:t>
      </w:r>
      <w:r>
        <w:rPr>
          <w:rFonts w:ascii="Times New Roman" w:hAnsi="Times New Roman" w:eastAsia="仿宋_GB2312"/>
          <w:sz w:val="32"/>
          <w:szCs w:val="32"/>
        </w:rPr>
        <w:t>报考专升本的，须提供所在学校工作证明；报考医学门类的考生须提供相关资格证书或证明；</w:t>
      </w:r>
      <w:r>
        <w:rPr>
          <w:rFonts w:hint="eastAsia" w:ascii="Times New Roman" w:hAnsi="Times New Roman" w:eastAsia="仿宋_GB2312"/>
          <w:sz w:val="32"/>
          <w:szCs w:val="32"/>
        </w:rPr>
        <w:t>省内跨市、县考生需提供三个月及以上（近半年内）的</w:t>
      </w:r>
      <w:r>
        <w:rPr>
          <w:rFonts w:ascii="Times New Roman" w:hAnsi="Times New Roman" w:eastAsia="仿宋_GB2312"/>
          <w:sz w:val="32"/>
          <w:szCs w:val="32"/>
        </w:rPr>
        <w:t>社保证明</w:t>
      </w:r>
      <w:r>
        <w:rPr>
          <w:rFonts w:hint="eastAsia" w:ascii="Times New Roman" w:hAnsi="Times New Roman" w:eastAsia="仿宋_GB2312"/>
          <w:sz w:val="32"/>
          <w:szCs w:val="32"/>
        </w:rPr>
        <w:t>；</w:t>
      </w:r>
      <w:r>
        <w:rPr>
          <w:rFonts w:ascii="Times New Roman" w:hAnsi="Times New Roman" w:eastAsia="仿宋_GB2312"/>
          <w:sz w:val="32"/>
          <w:szCs w:val="32"/>
        </w:rPr>
        <w:t>外省户籍考生须提供</w:t>
      </w:r>
      <w:r>
        <w:rPr>
          <w:rFonts w:hint="eastAsia" w:ascii="Times New Roman" w:hAnsi="Times New Roman" w:eastAsia="仿宋_GB2312"/>
          <w:sz w:val="32"/>
          <w:szCs w:val="32"/>
        </w:rPr>
        <w:t>有效期内的浙江</w:t>
      </w:r>
      <w:r>
        <w:rPr>
          <w:rFonts w:ascii="Times New Roman" w:hAnsi="Times New Roman" w:eastAsia="仿宋_GB2312"/>
          <w:sz w:val="32"/>
          <w:szCs w:val="32"/>
        </w:rPr>
        <w:t>省居住证</w:t>
      </w:r>
      <w:r>
        <w:rPr>
          <w:rFonts w:hint="eastAsia" w:ascii="Times New Roman" w:hAnsi="Times New Roman" w:eastAsia="仿宋_GB2312"/>
          <w:sz w:val="32"/>
          <w:szCs w:val="32"/>
        </w:rPr>
        <w:t>或六个月及以上（近一年内）的社保证明</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w:t>
      </w:r>
    </w:p>
    <w:p>
      <w:pPr>
        <w:pStyle w:val="6"/>
        <w:adjustRightInd w:val="0"/>
        <w:snapToGrid w:val="0"/>
        <w:spacing w:before="0" w:beforeAutospacing="0" w:after="0" w:afterAutospacing="0" w:line="560" w:lineRule="exact"/>
        <w:ind w:firstLine="630"/>
        <w:jc w:val="both"/>
        <w:rPr>
          <w:rFonts w:ascii="Times New Roman" w:hAnsi="Times New Roman" w:eastAsia="仿宋_GB2312"/>
          <w:sz w:val="32"/>
          <w:szCs w:val="32"/>
        </w:rPr>
      </w:pPr>
      <w:r>
        <w:rPr>
          <w:rFonts w:ascii="Times New Roman" w:hAnsi="Times New Roman" w:eastAsia="仿宋_GB2312"/>
          <w:sz w:val="32"/>
          <w:szCs w:val="32"/>
        </w:rPr>
        <w:t>专升本考生不得跨类填报志愿；高起本考生可兼报相同科类的高起专；艺术、体育类考生可兼报相应的文、理科，但不得在同一批次跨类兼报。</w:t>
      </w:r>
    </w:p>
    <w:p>
      <w:pPr>
        <w:pStyle w:val="6"/>
        <w:adjustRightInd w:val="0"/>
        <w:snapToGrid w:val="0"/>
        <w:spacing w:before="0" w:beforeAutospacing="0" w:after="0" w:afterAutospacing="0" w:line="560" w:lineRule="exact"/>
        <w:ind w:firstLine="614" w:firstLineChars="192"/>
        <w:jc w:val="both"/>
        <w:rPr>
          <w:rFonts w:ascii="Times New Roman" w:hAnsi="Times New Roman" w:eastAsia="仿宋_GB2312"/>
          <w:strike/>
          <w:sz w:val="32"/>
          <w:szCs w:val="32"/>
        </w:rPr>
      </w:pPr>
      <w:r>
        <w:rPr>
          <w:rFonts w:ascii="Times New Roman" w:hAnsi="Times New Roman" w:eastAsia="仿宋_GB2312"/>
          <w:sz w:val="32"/>
          <w:szCs w:val="32"/>
        </w:rPr>
        <w:t>报考艺术、体育类等有专业加试要求的考生，报名后须按照有关院校招生章程规定，参加学校组织的专业加试。未参加专业加试或加试成绩不合格的考生，不能录取艺术、体育类等专业。</w:t>
      </w:r>
    </w:p>
    <w:p>
      <w:pPr>
        <w:pStyle w:val="6"/>
        <w:adjustRightInd w:val="0"/>
        <w:snapToGrid w:val="0"/>
        <w:spacing w:before="0" w:beforeAutospacing="0" w:after="0" w:afterAutospacing="0" w:line="560" w:lineRule="exact"/>
        <w:ind w:firstLine="614" w:firstLineChars="192"/>
        <w:jc w:val="both"/>
        <w:rPr>
          <w:rFonts w:ascii="Times New Roman" w:hAnsi="Times New Roman" w:eastAsia="仿宋_GB2312"/>
          <w:sz w:val="32"/>
          <w:szCs w:val="32"/>
        </w:rPr>
      </w:pPr>
      <w:r>
        <w:rPr>
          <w:rFonts w:ascii="Times New Roman" w:hAnsi="Times New Roman" w:eastAsia="仿宋_GB2312"/>
          <w:sz w:val="32"/>
          <w:szCs w:val="32"/>
        </w:rPr>
        <w:t>报考医学门类专业（含中医、中药、药学等，下同）的考生，必须符合医学门类专业报考条件。</w:t>
      </w:r>
    </w:p>
    <w:p>
      <w:pPr>
        <w:pStyle w:val="6"/>
        <w:adjustRightInd w:val="0"/>
        <w:snapToGrid w:val="0"/>
        <w:spacing w:before="0" w:beforeAutospacing="0" w:after="0" w:afterAutospacing="0" w:line="560" w:lineRule="exact"/>
        <w:ind w:firstLine="616"/>
        <w:jc w:val="both"/>
        <w:rPr>
          <w:rFonts w:ascii="Times New Roman" w:hAnsi="Times New Roman" w:eastAsia="仿宋_GB2312"/>
          <w:sz w:val="32"/>
          <w:szCs w:val="32"/>
        </w:rPr>
      </w:pPr>
      <w:r>
        <w:rPr>
          <w:rFonts w:ascii="Times New Roman" w:hAnsi="Times New Roman" w:eastAsia="仿宋_GB2312"/>
          <w:sz w:val="32"/>
          <w:szCs w:val="32"/>
        </w:rPr>
        <w:t>同时具有高级中等教育学校毕业或者同等学力、中级工以上职业资格和两年以上工作经验的企业在职人员可填报“双元制”专业志愿。招生院校对报考“双元制”专业的考生进行资格审核，11月</w:t>
      </w:r>
      <w:r>
        <w:rPr>
          <w:rFonts w:hint="eastAsia" w:ascii="Times New Roman" w:hAnsi="Times New Roman" w:eastAsia="仿宋_GB2312"/>
          <w:sz w:val="32"/>
          <w:szCs w:val="32"/>
        </w:rPr>
        <w:t>17</w:t>
      </w:r>
      <w:r>
        <w:rPr>
          <w:rFonts w:ascii="Times New Roman" w:hAnsi="Times New Roman" w:eastAsia="仿宋_GB2312"/>
          <w:sz w:val="32"/>
          <w:szCs w:val="32"/>
        </w:rPr>
        <w:t>日前将符合条件的考生名单报省教育考试院备案。</w:t>
      </w:r>
    </w:p>
    <w:p>
      <w:pPr>
        <w:pStyle w:val="6"/>
        <w:adjustRightInd w:val="0"/>
        <w:snapToGrid w:val="0"/>
        <w:spacing w:before="0" w:beforeAutospacing="0" w:after="0" w:afterAutospacing="0" w:line="560" w:lineRule="exact"/>
        <w:ind w:firstLine="616" w:firstLineChars="200"/>
        <w:jc w:val="both"/>
        <w:rPr>
          <w:rFonts w:ascii="Times New Roman" w:hAnsi="Times New Roman" w:eastAsia="仿宋_GB2312"/>
          <w:kern w:val="2"/>
          <w:sz w:val="32"/>
          <w:szCs w:val="32"/>
        </w:rPr>
      </w:pPr>
      <w:r>
        <w:rPr>
          <w:rFonts w:ascii="Times New Roman" w:hAnsi="Times New Roman" w:eastAsia="仿宋_GB2312"/>
          <w:spacing w:val="-6"/>
          <w:sz w:val="32"/>
          <w:szCs w:val="32"/>
        </w:rPr>
        <w:t>符合</w:t>
      </w:r>
      <w:r>
        <w:rPr>
          <w:rFonts w:hint="eastAsia" w:ascii="Times New Roman" w:hAnsi="Times New Roman" w:eastAsia="仿宋_GB2312"/>
          <w:spacing w:val="-6"/>
          <w:sz w:val="32"/>
          <w:szCs w:val="32"/>
        </w:rPr>
        <w:t>报名条件和</w:t>
      </w:r>
      <w:r>
        <w:rPr>
          <w:rFonts w:ascii="Times New Roman" w:hAnsi="Times New Roman" w:eastAsia="仿宋_GB2312"/>
          <w:spacing w:val="-6"/>
          <w:sz w:val="32"/>
          <w:szCs w:val="32"/>
        </w:rPr>
        <w:t>免试录取条件的考生</w:t>
      </w:r>
      <w:r>
        <w:rPr>
          <w:rFonts w:hint="eastAsia" w:ascii="Times New Roman" w:hAnsi="Times New Roman" w:eastAsia="仿宋_GB2312"/>
          <w:spacing w:val="-6"/>
          <w:sz w:val="32"/>
          <w:szCs w:val="32"/>
        </w:rPr>
        <w:t>于9月5日8:30至9月15日17:00进入报名系统免试界面进行</w:t>
      </w:r>
      <w:r>
        <w:rPr>
          <w:rFonts w:ascii="Times New Roman" w:hAnsi="Times New Roman" w:eastAsia="仿宋_GB2312"/>
          <w:spacing w:val="-6"/>
          <w:sz w:val="32"/>
          <w:szCs w:val="32"/>
        </w:rPr>
        <w:t>网上报名</w:t>
      </w:r>
      <w:r>
        <w:rPr>
          <w:rFonts w:hint="eastAsia" w:ascii="Times New Roman" w:hAnsi="Times New Roman" w:eastAsia="仿宋_GB2312"/>
          <w:spacing w:val="-6"/>
          <w:sz w:val="32"/>
          <w:szCs w:val="32"/>
        </w:rPr>
        <w:t>和志愿填报（</w:t>
      </w:r>
      <w:r>
        <w:rPr>
          <w:rFonts w:ascii="Times New Roman" w:hAnsi="Times New Roman" w:eastAsia="仿宋_GB2312"/>
          <w:spacing w:val="-6"/>
          <w:sz w:val="32"/>
          <w:szCs w:val="32"/>
        </w:rPr>
        <w:t>可填报相应层次和科类的1所院校2个专业志愿</w:t>
      </w:r>
      <w:r>
        <w:rPr>
          <w:rFonts w:hint="eastAsia" w:ascii="Times New Roman" w:hAnsi="Times New Roman" w:eastAsia="仿宋_GB2312"/>
          <w:spacing w:val="-6"/>
          <w:sz w:val="32"/>
          <w:szCs w:val="32"/>
        </w:rPr>
        <w:t>），志愿填报确认后不得更改。申请免试考生可同时报名参加成人高考</w:t>
      </w:r>
      <w:r>
        <w:rPr>
          <w:rFonts w:hint="eastAsia" w:ascii="Times New Roman" w:hAnsi="Times New Roman" w:eastAsia="仿宋_GB2312"/>
          <w:kern w:val="2"/>
          <w:sz w:val="32"/>
          <w:szCs w:val="32"/>
        </w:rPr>
        <w:t>。仅申请免试考生无志愿确认环节，填报志愿一旦确定不得更改。</w:t>
      </w:r>
    </w:p>
    <w:p>
      <w:pPr>
        <w:pStyle w:val="6"/>
        <w:adjustRightInd w:val="0"/>
        <w:snapToGrid w:val="0"/>
        <w:spacing w:before="0" w:beforeAutospacing="0" w:after="0" w:afterAutospacing="0" w:line="560" w:lineRule="exact"/>
        <w:ind w:firstLine="640" w:firstLineChars="200"/>
        <w:jc w:val="both"/>
        <w:rPr>
          <w:rFonts w:ascii="Times New Roman" w:hAnsi="Times New Roman" w:eastAsia="楷体"/>
          <w:sz w:val="32"/>
          <w:szCs w:val="32"/>
        </w:rPr>
      </w:pPr>
      <w:r>
        <w:rPr>
          <w:rFonts w:hint="eastAsia" w:ascii="Times New Roman" w:hAnsi="Times New Roman" w:eastAsia="楷体"/>
          <w:sz w:val="32"/>
          <w:szCs w:val="32"/>
        </w:rPr>
        <w:t>（二）</w:t>
      </w:r>
      <w:r>
        <w:rPr>
          <w:rFonts w:ascii="Times New Roman" w:hAnsi="Times New Roman" w:eastAsia="楷体"/>
          <w:sz w:val="32"/>
          <w:szCs w:val="32"/>
        </w:rPr>
        <w:t>网上信息审核和缴费</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sz w:val="32"/>
          <w:szCs w:val="32"/>
        </w:rPr>
        <w:t>各地招生考试机构对考生提交的报名信息进行审核。审核通过的考生按短信通知要求登录报名系统进行网上缴费完成报名。提交资料不全的考生按短信通知登录网上报名系统补充相关材料，</w:t>
      </w:r>
      <w:r>
        <w:rPr>
          <w:rFonts w:hint="eastAsia" w:ascii="Times New Roman" w:hAnsi="Times New Roman" w:eastAsia="仿宋_GB2312"/>
          <w:sz w:val="32"/>
          <w:szCs w:val="32"/>
        </w:rPr>
        <w:t>网上审核不通过的考生</w:t>
      </w:r>
      <w:r>
        <w:rPr>
          <w:rFonts w:ascii="Times New Roman" w:hAnsi="Times New Roman" w:eastAsia="仿宋_GB2312"/>
          <w:sz w:val="32"/>
          <w:szCs w:val="32"/>
        </w:rPr>
        <w:t>在规定的时间和地点进行现场审核，审核通过后进行网上缴费完成报名。</w:t>
      </w:r>
      <w:r>
        <w:rPr>
          <w:rFonts w:ascii="Times New Roman" w:hAnsi="Times New Roman" w:eastAsia="仿宋_GB2312"/>
          <w:spacing w:val="-6"/>
          <w:sz w:val="32"/>
          <w:szCs w:val="32"/>
        </w:rPr>
        <w:t>网上缴费的截止时间为</w:t>
      </w:r>
      <w:r>
        <w:rPr>
          <w:rFonts w:hint="eastAsia" w:ascii="Times New Roman" w:hAnsi="Times New Roman" w:eastAsia="仿宋_GB2312"/>
          <w:spacing w:val="-6"/>
          <w:sz w:val="32"/>
          <w:szCs w:val="32"/>
        </w:rPr>
        <w:t>9月16日17:00</w:t>
      </w:r>
      <w:r>
        <w:rPr>
          <w:rFonts w:ascii="Times New Roman" w:hAnsi="Times New Roman" w:eastAsia="仿宋_GB2312"/>
          <w:spacing w:val="-6"/>
          <w:sz w:val="32"/>
          <w:szCs w:val="32"/>
        </w:rPr>
        <w:t>，逾期未缴费的考生视为放弃报名</w:t>
      </w:r>
      <w:r>
        <w:rPr>
          <w:rFonts w:ascii="Times New Roman" w:hAnsi="Times New Roman" w:eastAsia="仿宋_GB2312"/>
          <w:sz w:val="32"/>
          <w:szCs w:val="32"/>
        </w:rPr>
        <w:t>，</w:t>
      </w:r>
      <w:r>
        <w:rPr>
          <w:rFonts w:ascii="Times New Roman" w:hAnsi="Times New Roman" w:eastAsia="仿宋_GB2312"/>
          <w:kern w:val="2"/>
          <w:sz w:val="32"/>
          <w:szCs w:val="32"/>
        </w:rPr>
        <w:t>不能参加考试。</w:t>
      </w:r>
    </w:p>
    <w:p>
      <w:pPr>
        <w:pStyle w:val="3"/>
        <w:adjustRightInd w:val="0"/>
        <w:snapToGrid w:val="0"/>
        <w:spacing w:line="540" w:lineRule="exact"/>
        <w:ind w:firstLine="640"/>
        <w:rPr>
          <w:rFonts w:ascii="Times New Roman" w:hAnsi="Times New Roman" w:eastAsia="仿宋_GB2312"/>
          <w:sz w:val="32"/>
          <w:szCs w:val="32"/>
        </w:rPr>
      </w:pPr>
      <w:r>
        <w:rPr>
          <w:rFonts w:ascii="Times New Roman" w:hAnsi="Times New Roman" w:eastAsia="仿宋_GB2312" w:cs="宋体"/>
          <w:kern w:val="0"/>
          <w:sz w:val="32"/>
          <w:szCs w:val="32"/>
        </w:rPr>
        <w:t>符合免试和政策加分（除年龄加分和少数民族加分外）的考生，在完成报名信息录入后，须在报名页面对应栏中填报相关信息，提交相关材料。各地招生考试机构对考生提交的加分和免试信息进行初审。提交资料不全的考生按短信通知网上补充相关材料</w:t>
      </w:r>
      <w:r>
        <w:rPr>
          <w:rFonts w:hint="eastAsia" w:ascii="Times New Roman" w:hAnsi="Times New Roman" w:eastAsia="仿宋_GB2312" w:cs="宋体"/>
          <w:kern w:val="0"/>
          <w:sz w:val="32"/>
          <w:szCs w:val="32"/>
        </w:rPr>
        <w:t>。各地招生考试机构通知考生开展现场复审，考生须在</w:t>
      </w:r>
      <w:r>
        <w:rPr>
          <w:rFonts w:ascii="Times New Roman" w:hAnsi="Times New Roman" w:eastAsia="仿宋_GB2312" w:cs="宋体"/>
          <w:kern w:val="0"/>
          <w:sz w:val="32"/>
          <w:szCs w:val="32"/>
        </w:rPr>
        <w:t>规定的时间和地点进行现场复审，提交证件原件和复印件</w:t>
      </w:r>
      <w:r>
        <w:rPr>
          <w:rFonts w:hint="eastAsia" w:ascii="Times New Roman" w:hAnsi="Times New Roman" w:eastAsia="仿宋_GB2312" w:cs="宋体"/>
          <w:kern w:val="0"/>
          <w:sz w:val="32"/>
          <w:szCs w:val="32"/>
        </w:rPr>
        <w:t>，未在规定时间内赴现场复审的考生视为放弃免试和政策加分</w:t>
      </w:r>
      <w:r>
        <w:rPr>
          <w:rFonts w:ascii="Times New Roman" w:hAnsi="Times New Roman" w:eastAsia="仿宋_GB2312" w:cs="宋体"/>
          <w:kern w:val="0"/>
          <w:sz w:val="32"/>
          <w:szCs w:val="32"/>
        </w:rPr>
        <w:t>。</w:t>
      </w:r>
      <w:r>
        <w:rPr>
          <w:rFonts w:hint="eastAsia" w:ascii="Times New Roman" w:hAnsi="Times New Roman" w:eastAsia="仿宋_GB2312" w:cs="宋体"/>
          <w:kern w:val="0"/>
          <w:sz w:val="32"/>
          <w:szCs w:val="32"/>
        </w:rPr>
        <w:t>复审</w:t>
      </w:r>
      <w:r>
        <w:rPr>
          <w:rFonts w:ascii="Times New Roman" w:hAnsi="Times New Roman" w:eastAsia="仿宋_GB2312" w:cs="宋体"/>
          <w:kern w:val="0"/>
          <w:sz w:val="32"/>
          <w:szCs w:val="32"/>
        </w:rPr>
        <w:t>通过的考生信息由浙江省教育考试院联合相关部门开展最终审核。退役军人身份由浙江</w:t>
      </w:r>
      <w:r>
        <w:rPr>
          <w:rFonts w:hint="eastAsia" w:ascii="Times New Roman" w:hAnsi="Times New Roman" w:eastAsia="仿宋_GB2312" w:cs="宋体"/>
          <w:kern w:val="0"/>
          <w:sz w:val="32"/>
          <w:szCs w:val="32"/>
        </w:rPr>
        <w:t>省</w:t>
      </w:r>
      <w:r>
        <w:rPr>
          <w:rFonts w:ascii="Times New Roman" w:hAnsi="Times New Roman" w:eastAsia="仿宋_GB2312" w:cs="宋体"/>
          <w:kern w:val="0"/>
          <w:sz w:val="32"/>
          <w:szCs w:val="32"/>
        </w:rPr>
        <w:t>退役军人事务厅开展审核。免试资格审核通过的考生信息根据志愿情况提交相应高校，由高校决定是否录取。</w:t>
      </w:r>
    </w:p>
    <w:p>
      <w:pPr>
        <w:pStyle w:val="6"/>
        <w:adjustRightInd w:val="0"/>
        <w:snapToGrid w:val="0"/>
        <w:spacing w:before="0" w:beforeAutospacing="0" w:after="0" w:afterAutospacing="0" w:line="560" w:lineRule="exact"/>
        <w:ind w:firstLine="640" w:firstLineChars="200"/>
        <w:jc w:val="both"/>
        <w:rPr>
          <w:rFonts w:hint="eastAsia" w:ascii="Times New Roman" w:hAnsi="Times New Roman" w:eastAsia="仿宋_GB2312"/>
          <w:strike/>
          <w:sz w:val="32"/>
          <w:szCs w:val="32"/>
        </w:rPr>
      </w:pPr>
      <w:r>
        <w:rPr>
          <w:rFonts w:ascii="Times New Roman" w:hAnsi="Times New Roman" w:eastAsia="仿宋_GB2312"/>
          <w:sz w:val="32"/>
          <w:szCs w:val="32"/>
        </w:rPr>
        <w:t>成人高考报名考试费收费标准按照</w:t>
      </w:r>
      <w:r>
        <w:rPr>
          <w:rFonts w:hint="eastAsia" w:ascii="Times New Roman" w:hAnsi="Times New Roman" w:eastAsia="仿宋_GB2312"/>
          <w:sz w:val="32"/>
          <w:szCs w:val="32"/>
        </w:rPr>
        <w:t>《浙江省物价局 浙江省财政厅关于调整部分教育考试收费标准的通知》（</w:t>
      </w:r>
      <w:r>
        <w:rPr>
          <w:rFonts w:ascii="Times New Roman" w:hAnsi="Times New Roman" w:eastAsia="仿宋_GB2312"/>
          <w:sz w:val="32"/>
          <w:szCs w:val="32"/>
        </w:rPr>
        <w:t>浙价费〔2018〕32号</w:t>
      </w:r>
      <w:r>
        <w:rPr>
          <w:rFonts w:hint="eastAsia" w:ascii="Times New Roman" w:hAnsi="Times New Roman" w:eastAsia="仿宋_GB2312"/>
          <w:sz w:val="32"/>
          <w:szCs w:val="32"/>
        </w:rPr>
        <w:t>）</w:t>
      </w:r>
      <w:r>
        <w:rPr>
          <w:rFonts w:ascii="Times New Roman" w:hAnsi="Times New Roman" w:eastAsia="仿宋_GB2312"/>
          <w:sz w:val="32"/>
          <w:szCs w:val="32"/>
        </w:rPr>
        <w:t>文件规定执行，每人每科次40元。</w:t>
      </w:r>
      <w:r>
        <w:rPr>
          <w:rFonts w:hint="eastAsia" w:ascii="Times New Roman" w:hAnsi="Times New Roman" w:eastAsia="仿宋_GB2312"/>
          <w:spacing w:val="-6"/>
          <w:sz w:val="32"/>
          <w:szCs w:val="32"/>
        </w:rPr>
        <w:t>仅</w:t>
      </w:r>
      <w:r>
        <w:rPr>
          <w:rFonts w:hint="eastAsia" w:ascii="Times New Roman" w:hAnsi="Times New Roman" w:eastAsia="仿宋_GB2312"/>
          <w:kern w:val="2"/>
          <w:sz w:val="32"/>
          <w:szCs w:val="32"/>
        </w:rPr>
        <w:t>申请免试的考生不需要进行网上缴费。</w:t>
      </w:r>
    </w:p>
    <w:p>
      <w:pPr>
        <w:pStyle w:val="6"/>
        <w:adjustRightInd w:val="0"/>
        <w:snapToGrid w:val="0"/>
        <w:spacing w:before="0" w:beforeAutospacing="0" w:after="0" w:afterAutospacing="0" w:line="560" w:lineRule="exact"/>
        <w:ind w:firstLine="614" w:firstLineChars="192"/>
        <w:jc w:val="both"/>
        <w:rPr>
          <w:rFonts w:ascii="Times New Roman" w:hAnsi="Times New Roman" w:eastAsia="仿宋_GB2312"/>
          <w:sz w:val="32"/>
          <w:szCs w:val="32"/>
        </w:rPr>
      </w:pPr>
      <w:r>
        <w:rPr>
          <w:rFonts w:ascii="Times New Roman" w:hAnsi="Times New Roman" w:eastAsia="仿宋_GB2312"/>
          <w:sz w:val="32"/>
          <w:szCs w:val="32"/>
        </w:rPr>
        <w:t>有关招生考试机构须对考生报考资格进行审查，对不符合报考条件的考生，须取消其报考资格。</w:t>
      </w:r>
    </w:p>
    <w:p>
      <w:pPr>
        <w:pStyle w:val="6"/>
        <w:adjustRightInd w:val="0"/>
        <w:snapToGrid w:val="0"/>
        <w:spacing w:before="0" w:beforeAutospacing="0" w:after="0" w:afterAutospacing="0" w:line="560" w:lineRule="exact"/>
        <w:ind w:firstLine="616"/>
        <w:jc w:val="both"/>
        <w:rPr>
          <w:rFonts w:ascii="Times New Roman" w:hAnsi="Times New Roman" w:eastAsia="仿宋_GB2312"/>
          <w:sz w:val="32"/>
          <w:szCs w:val="32"/>
        </w:rPr>
      </w:pPr>
      <w:r>
        <w:rPr>
          <w:rFonts w:ascii="Times New Roman" w:hAnsi="Times New Roman" w:eastAsia="仿宋_GB2312"/>
          <w:sz w:val="32"/>
          <w:szCs w:val="32"/>
        </w:rPr>
        <w:t>考生报名时验证的手机号是接收短信通知的重要渠道，报名所用微信号或钉钉号为身份认证的凭证，须认真维护，所对应的密码严禁向他人透露。绑定他人手机号报名、借用他人微信号或钉钉号、泄露本人密码信息造成的后果全部由考生本人承担。</w:t>
      </w:r>
    </w:p>
    <w:p>
      <w:pPr>
        <w:pStyle w:val="6"/>
        <w:adjustRightInd w:val="0"/>
        <w:snapToGrid w:val="0"/>
        <w:spacing w:before="0" w:beforeAutospacing="0" w:after="0" w:afterAutospacing="0" w:line="560" w:lineRule="exact"/>
        <w:jc w:val="both"/>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楷体"/>
          <w:sz w:val="32"/>
          <w:szCs w:val="32"/>
        </w:rPr>
        <w:t>（</w:t>
      </w:r>
      <w:r>
        <w:rPr>
          <w:rFonts w:hint="eastAsia" w:ascii="Times New Roman" w:hAnsi="Times New Roman" w:eastAsia="楷体"/>
          <w:sz w:val="32"/>
          <w:szCs w:val="32"/>
        </w:rPr>
        <w:t>三</w:t>
      </w:r>
      <w:r>
        <w:rPr>
          <w:rFonts w:ascii="Times New Roman" w:hAnsi="Times New Roman" w:eastAsia="楷体"/>
          <w:sz w:val="32"/>
          <w:szCs w:val="32"/>
        </w:rPr>
        <w:t>）网上志愿确认</w:t>
      </w:r>
    </w:p>
    <w:p>
      <w:pPr>
        <w:pStyle w:val="6"/>
        <w:adjustRightInd w:val="0"/>
        <w:snapToGrid w:val="0"/>
        <w:spacing w:before="0" w:beforeAutospacing="0" w:after="0" w:afterAutospacing="0" w:line="560" w:lineRule="exact"/>
        <w:ind w:firstLine="616"/>
        <w:jc w:val="both"/>
        <w:rPr>
          <w:rFonts w:ascii="Times New Roman" w:hAnsi="Times New Roman" w:eastAsia="仿宋_GB2312"/>
          <w:kern w:val="2"/>
          <w:sz w:val="32"/>
          <w:szCs w:val="32"/>
        </w:rPr>
      </w:pPr>
      <w:r>
        <w:rPr>
          <w:rFonts w:ascii="Times New Roman" w:hAnsi="Times New Roman" w:eastAsia="仿宋_GB2312"/>
          <w:kern w:val="2"/>
          <w:sz w:val="32"/>
          <w:szCs w:val="32"/>
        </w:rPr>
        <w:t>考试结束后，考生登录浙江省教育考试院官网成人高校招生报名系统确认志愿，时间为11月</w:t>
      </w:r>
      <w:r>
        <w:rPr>
          <w:rFonts w:hint="eastAsia" w:ascii="Times New Roman" w:hAnsi="Times New Roman" w:eastAsia="仿宋_GB2312"/>
          <w:kern w:val="2"/>
          <w:sz w:val="32"/>
          <w:szCs w:val="32"/>
        </w:rPr>
        <w:t>25</w:t>
      </w:r>
      <w:r>
        <w:rPr>
          <w:rFonts w:ascii="Times New Roman" w:hAnsi="Times New Roman" w:eastAsia="仿宋_GB2312"/>
          <w:kern w:val="2"/>
          <w:sz w:val="32"/>
          <w:szCs w:val="32"/>
        </w:rPr>
        <w:t>日</w:t>
      </w:r>
      <w:r>
        <w:rPr>
          <w:rFonts w:hint="eastAsia" w:ascii="Times New Roman" w:hAnsi="Times New Roman" w:eastAsia="仿宋_GB2312"/>
          <w:kern w:val="2"/>
          <w:sz w:val="32"/>
          <w:szCs w:val="32"/>
        </w:rPr>
        <w:t>8</w:t>
      </w:r>
      <w:r>
        <w:rPr>
          <w:rFonts w:ascii="Times New Roman" w:hAnsi="Times New Roman" w:eastAsia="仿宋_GB2312"/>
          <w:kern w:val="2"/>
          <w:sz w:val="32"/>
          <w:szCs w:val="32"/>
        </w:rPr>
        <w:t>:30至</w:t>
      </w:r>
      <w:r>
        <w:rPr>
          <w:rFonts w:hint="eastAsia" w:ascii="Times New Roman" w:hAnsi="Times New Roman" w:eastAsia="仿宋_GB2312"/>
          <w:kern w:val="2"/>
          <w:sz w:val="32"/>
          <w:szCs w:val="32"/>
        </w:rPr>
        <w:t>11月29日1</w:t>
      </w:r>
      <w:r>
        <w:rPr>
          <w:rFonts w:ascii="Times New Roman" w:hAnsi="Times New Roman" w:eastAsia="仿宋_GB2312"/>
          <w:kern w:val="2"/>
          <w:sz w:val="32"/>
          <w:szCs w:val="32"/>
        </w:rPr>
        <w:t>7:00。</w:t>
      </w:r>
    </w:p>
    <w:p>
      <w:pPr>
        <w:pStyle w:val="6"/>
        <w:adjustRightInd w:val="0"/>
        <w:snapToGrid w:val="0"/>
        <w:spacing w:before="0" w:beforeAutospacing="0" w:after="0" w:afterAutospacing="0" w:line="560" w:lineRule="exact"/>
        <w:ind w:firstLine="616"/>
        <w:jc w:val="both"/>
        <w:rPr>
          <w:rFonts w:ascii="Times New Roman" w:hAnsi="Times New Roman" w:eastAsia="仿宋_GB2312"/>
          <w:kern w:val="2"/>
          <w:sz w:val="32"/>
          <w:szCs w:val="32"/>
        </w:rPr>
      </w:pPr>
      <w:r>
        <w:rPr>
          <w:rFonts w:ascii="Times New Roman" w:hAnsi="Times New Roman" w:eastAsia="仿宋_GB2312"/>
          <w:kern w:val="2"/>
          <w:sz w:val="32"/>
          <w:szCs w:val="32"/>
        </w:rPr>
        <w:t>考生可根据公布的院校专业招生计划，结合本人实际情况对报名时填报的志愿进行修改确认。修改的志愿必须是与考试科目一致的同层次、同科类且符合报考条件的院校和专业，其中报考医学门类专业的考生，可以改填非医学门类专业志愿，报考非医学门类专业的考生，不得改填医学门类专业志愿。考生在志愿确认截止时间前，可多次登录系统进行修改，按最后一次修改确认并成功提交的志愿为准，无需办理现场确认手续。考生未在规定时间内网上修改确认的，其报名时填报的志愿默认为考生确认志愿。</w:t>
      </w:r>
    </w:p>
    <w:p>
      <w:pPr>
        <w:pStyle w:val="6"/>
        <w:adjustRightInd w:val="0"/>
        <w:snapToGrid w:val="0"/>
        <w:spacing w:before="0" w:beforeAutospacing="0" w:after="0" w:afterAutospacing="0" w:line="560" w:lineRule="exact"/>
        <w:ind w:firstLine="616"/>
        <w:jc w:val="both"/>
        <w:rPr>
          <w:rFonts w:ascii="Times New Roman" w:hAnsi="Times New Roman" w:eastAsia="仿宋_GB2312"/>
          <w:sz w:val="32"/>
          <w:szCs w:val="32"/>
        </w:rPr>
      </w:pPr>
      <w:r>
        <w:rPr>
          <w:rFonts w:ascii="Times New Roman" w:hAnsi="Times New Roman" w:eastAsia="仿宋_GB2312"/>
          <w:sz w:val="32"/>
          <w:szCs w:val="32"/>
        </w:rPr>
        <w:t>录取期间，对各批次未完成招生计划的院校和专业，</w:t>
      </w:r>
      <w:r>
        <w:rPr>
          <w:rFonts w:hint="eastAsia" w:ascii="Times New Roman" w:hAnsi="Times New Roman" w:eastAsia="仿宋_GB2312"/>
          <w:sz w:val="32"/>
          <w:szCs w:val="32"/>
        </w:rPr>
        <w:t>浙江</w:t>
      </w:r>
      <w:r>
        <w:rPr>
          <w:rFonts w:ascii="Times New Roman" w:hAnsi="Times New Roman" w:eastAsia="仿宋_GB2312"/>
          <w:sz w:val="32"/>
          <w:szCs w:val="32"/>
        </w:rPr>
        <w:t>省教育考试院将通过官网统一向社会公布，未录取的符合条件考生可登录浙江省教育考试院官网，查看院校信息，重新在网上补报志愿。</w:t>
      </w:r>
    </w:p>
    <w:p>
      <w:pPr>
        <w:pStyle w:val="6"/>
        <w:adjustRightInd w:val="0"/>
        <w:snapToGrid w:val="0"/>
        <w:spacing w:before="0" w:beforeAutospacing="0" w:after="0" w:afterAutospacing="0" w:line="560" w:lineRule="exact"/>
        <w:jc w:val="both"/>
        <w:rPr>
          <w:rFonts w:ascii="Times New Roman" w:hAnsi="Times New Roman" w:eastAsia="华文仿宋" w:cs="Times New Roman"/>
          <w:b/>
          <w:bCs/>
          <w:sz w:val="32"/>
          <w:szCs w:val="32"/>
        </w:rPr>
      </w:pPr>
      <w:r>
        <w:rPr>
          <w:rFonts w:ascii="Times New Roman" w:hAnsi="Times New Roman" w:eastAsia="华文仿宋" w:cs="Times New Roman"/>
          <w:sz w:val="32"/>
          <w:szCs w:val="32"/>
        </w:rPr>
        <w:t xml:space="preserve"> </w:t>
      </w:r>
      <w:r>
        <w:rPr>
          <w:rFonts w:hint="eastAsia" w:ascii="黑体" w:hAnsi="黑体" w:eastAsia="黑体" w:cs="黑体"/>
          <w:b/>
          <w:bCs/>
          <w:sz w:val="32"/>
          <w:szCs w:val="32"/>
        </w:rPr>
        <w:t xml:space="preserve"> </w:t>
      </w:r>
      <w:r>
        <w:rPr>
          <w:rFonts w:hint="eastAsia" w:ascii="黑体" w:hAnsi="黑体" w:eastAsia="黑体" w:cs="黑体"/>
          <w:b/>
          <w:bCs/>
          <w:color w:val="FF0000"/>
          <w:sz w:val="32"/>
          <w:szCs w:val="32"/>
        </w:rPr>
        <w:t xml:space="preserve">  </w:t>
      </w:r>
      <w:r>
        <w:rPr>
          <w:rFonts w:hint="eastAsia" w:ascii="黑体" w:hAnsi="黑体" w:eastAsia="黑体" w:cs="黑体"/>
          <w:sz w:val="32"/>
          <w:szCs w:val="32"/>
        </w:rPr>
        <w:t>五、考试</w:t>
      </w:r>
      <w:r>
        <w:rPr>
          <w:rFonts w:ascii="Times New Roman" w:hAnsi="Times New Roman" w:eastAsia="华文仿宋" w:cs="Times New Roman"/>
          <w:sz w:val="32"/>
          <w:szCs w:val="32"/>
        </w:rPr>
        <w:t xml:space="preserve">   </w:t>
      </w:r>
      <w:r>
        <w:rPr>
          <w:rFonts w:ascii="Times New Roman" w:hAnsi="Times New Roman" w:eastAsia="华文仿宋" w:cs="Times New Roman"/>
          <w:b/>
          <w:bCs/>
          <w:sz w:val="32"/>
          <w:szCs w:val="32"/>
        </w:rPr>
        <w:t xml:space="preserve"> </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楷体" w:cs="Times New Roman"/>
          <w:sz w:val="32"/>
          <w:szCs w:val="32"/>
        </w:rPr>
        <w:t>（一）考试科目</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一类：专升本</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1.哲学、文学、历史学</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rPr>
        <w:t>中医学类、中药学类：政治、外语、大学语文。</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2.艺术类：政治、外语、艺术概论。</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3.工学、理学（生物科学类、地理科学类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心理学类</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除外）：政治、外语、高等数学（一）。</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4.经济学、管理学</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rPr>
        <w:t>生物科学类、地理科学类、心理学类、药学类（中药学类除外）</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：政治、外语、高等数学（二）。</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5.法学：政治、外语、民法。</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6.教育学：政治、外语、教育理论。</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7.农学：政治、外语、生态学基础。</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8.医学（中医学类、药学类</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两个一级学科除外）：政治、外语、医学综合。</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二类：高起本</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1.文科、艺术（文）：语文、数学（文）、外语、历史地理。</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2.理科、艺术（理）：语文、数学（理）、外语、物理化学。</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三类：高起专</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1.文科、艺术（文）、体育（文）：语文、数学（文）、外语。</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2.理科、艺术（理）、体育（理）：语文、数学（理）、外语。</w:t>
      </w:r>
    </w:p>
    <w:p>
      <w:pPr>
        <w:pStyle w:val="6"/>
        <w:adjustRightInd w:val="0"/>
        <w:snapToGrid w:val="0"/>
        <w:spacing w:before="0" w:beforeAutospacing="0" w:after="0" w:afterAutospacing="0" w:line="560" w:lineRule="exact"/>
        <w:ind w:firstLine="61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专升本、高起本和高起专外语考试科目分为英语、日语两个语种，考生可根据高校招生章程公布的专业要求选择一种。</w:t>
      </w:r>
    </w:p>
    <w:p>
      <w:pPr>
        <w:pStyle w:val="6"/>
        <w:adjustRightInd w:val="0"/>
        <w:snapToGrid w:val="0"/>
        <w:spacing w:before="0" w:beforeAutospacing="0" w:after="0" w:afterAutospacing="0" w:line="560" w:lineRule="exact"/>
        <w:ind w:firstLine="61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高校艺术、体育类专业须进行专业加试，其他专业是否进行专业加试由各招生院校自行确定。专业加试须在</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省教育考试院向社会公布的招生专业目录中标注，同时在招生章程中向社会公布；专业加试的命题和考试工作由招生院校自行组织，加试成绩及合格考生名单须于11月</w:t>
      </w: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日前报</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省教育考试院备案。</w:t>
      </w:r>
    </w:p>
    <w:p>
      <w:pPr>
        <w:pStyle w:val="6"/>
        <w:adjustRightInd w:val="0"/>
        <w:snapToGrid w:val="0"/>
        <w:spacing w:before="0" w:beforeAutospacing="0" w:after="0" w:afterAutospacing="0" w:line="56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高起本和高起专的艺术类考生需参加数学考试，但数学成绩不计入总分，供招生院校录取时参考。</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000000"/>
          <w:sz w:val="32"/>
          <w:szCs w:val="32"/>
          <w:shd w:val="clear" w:color="auto" w:fill="FFFFFF"/>
        </w:rPr>
        <w:t>考试依据《全国各类成人高等学校招生复习考试大纲（2020年版）》命题。</w:t>
      </w:r>
      <w:r>
        <w:rPr>
          <w:rFonts w:ascii="Times New Roman" w:hAnsi="Times New Roman" w:eastAsia="仿宋_GB2312" w:cs="Times New Roman"/>
          <w:sz w:val="32"/>
          <w:szCs w:val="32"/>
        </w:rPr>
        <w:t>专升本的日语科目由</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省教育考试院组织命题，其他均为全国统考科目。专升本招生专业所对应的考试科目按《专科起点升本科</w:t>
      </w:r>
      <w:r>
        <w:rPr>
          <w:rFonts w:hint="eastAsia" w:ascii="Times New Roman" w:hAnsi="Times New Roman" w:eastAsia="仿宋_GB2312" w:cs="Times New Roman"/>
          <w:sz w:val="32"/>
          <w:szCs w:val="32"/>
        </w:rPr>
        <w:t>招生</w:t>
      </w:r>
      <w:r>
        <w:rPr>
          <w:rFonts w:ascii="Times New Roman" w:hAnsi="Times New Roman" w:eastAsia="仿宋_GB2312" w:cs="Times New Roman"/>
          <w:sz w:val="32"/>
          <w:szCs w:val="32"/>
        </w:rPr>
        <w:t>专业</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统一考试科目</w:t>
      </w:r>
      <w:r>
        <w:rPr>
          <w:rFonts w:hint="eastAsia" w:ascii="Times New Roman" w:hAnsi="Times New Roman" w:eastAsia="仿宋_GB2312" w:cs="Times New Roman"/>
          <w:sz w:val="32"/>
          <w:szCs w:val="32"/>
        </w:rPr>
        <w:t>对照</w:t>
      </w:r>
      <w:r>
        <w:rPr>
          <w:rFonts w:ascii="Times New Roman" w:hAnsi="Times New Roman" w:eastAsia="仿宋_GB2312" w:cs="Times New Roman"/>
          <w:sz w:val="32"/>
          <w:szCs w:val="32"/>
        </w:rPr>
        <w:t>表》（见附件2）执行。所有统考科目每科试题满分均为150分。高起本、高起专统考科目每</w:t>
      </w:r>
      <w:r>
        <w:rPr>
          <w:rFonts w:hint="eastAsia" w:ascii="Times New Roman" w:hAnsi="Times New Roman" w:eastAsia="仿宋_GB2312" w:cs="Times New Roman"/>
          <w:sz w:val="32"/>
          <w:szCs w:val="32"/>
        </w:rPr>
        <w:t>科</w:t>
      </w:r>
      <w:r>
        <w:rPr>
          <w:rFonts w:ascii="Times New Roman" w:hAnsi="Times New Roman" w:eastAsia="仿宋_GB2312" w:cs="Times New Roman"/>
          <w:sz w:val="32"/>
          <w:szCs w:val="32"/>
        </w:rPr>
        <w:t>考试时间为120分钟，专升本每科考试时间为150分钟。</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楷体" w:cs="Times New Roman"/>
          <w:sz w:val="32"/>
          <w:szCs w:val="32"/>
        </w:rPr>
        <w:t>（二）考试时间</w:t>
      </w:r>
    </w:p>
    <w:p>
      <w:pPr>
        <w:pStyle w:val="6"/>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年全国成人高校招生统一考试日期为</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日和</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日。具体时间安排如下：</w:t>
      </w:r>
    </w:p>
    <w:p>
      <w:pPr>
        <w:pStyle w:val="6"/>
        <w:adjustRightInd w:val="0"/>
        <w:snapToGrid w:val="0"/>
        <w:spacing w:before="0" w:beforeAutospacing="0" w:after="0" w:afterAutospacing="0" w:line="560" w:lineRule="exact"/>
        <w:ind w:firstLine="616"/>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1.高起本、高起专考试时间表</w:t>
      </w:r>
    </w:p>
    <w:p>
      <w:pPr>
        <w:pStyle w:val="6"/>
        <w:adjustRightInd w:val="0"/>
        <w:snapToGrid w:val="0"/>
        <w:spacing w:before="0" w:beforeAutospacing="0" w:after="0" w:afterAutospacing="0" w:line="500" w:lineRule="exact"/>
        <w:ind w:firstLine="616"/>
        <w:jc w:val="both"/>
        <w:rPr>
          <w:rFonts w:hint="eastAsia" w:ascii="Times New Roman" w:hAnsi="Times New Roman" w:eastAsia="仿宋_GB2312" w:cs="Times New Roman"/>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2637"/>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282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6"/>
              <w:snapToGrid w:val="0"/>
              <w:spacing w:before="0" w:beforeAutospacing="0" w:after="0" w:afterAutospacing="0"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日期</w:t>
            </w:r>
          </w:p>
          <w:p>
            <w:pPr>
              <w:pStyle w:val="6"/>
              <w:snapToGrid w:val="0"/>
              <w:spacing w:before="0" w:beforeAutospacing="0" w:after="0" w:afterAutospacing="0"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时间</w:t>
            </w:r>
          </w:p>
        </w:tc>
        <w:tc>
          <w:tcPr>
            <w:tcW w:w="2637" w:type="dxa"/>
            <w:tcBorders>
              <w:top w:val="single" w:color="auto" w:sz="4" w:space="0"/>
              <w:left w:val="nil"/>
              <w:bottom w:val="single" w:color="auto" w:sz="4" w:space="0"/>
              <w:right w:val="single" w:color="auto" w:sz="4" w:space="0"/>
            </w:tcBorders>
            <w:noWrap w:val="0"/>
            <w:vAlign w:val="center"/>
          </w:tcPr>
          <w:p>
            <w:pPr>
              <w:pStyle w:val="6"/>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日</w:t>
            </w:r>
          </w:p>
        </w:tc>
        <w:tc>
          <w:tcPr>
            <w:tcW w:w="2940" w:type="dxa"/>
            <w:tcBorders>
              <w:top w:val="single" w:color="auto" w:sz="4" w:space="0"/>
              <w:left w:val="nil"/>
              <w:bottom w:val="single" w:color="auto" w:sz="4" w:space="0"/>
              <w:right w:val="single" w:color="auto" w:sz="4" w:space="0"/>
            </w:tcBorders>
            <w:noWrap w:val="0"/>
            <w:vAlign w:val="center"/>
          </w:tcPr>
          <w:p>
            <w:pPr>
              <w:pStyle w:val="6"/>
              <w:snapToGrid w:val="0"/>
              <w:spacing w:before="0" w:beforeAutospacing="0" w:after="0" w:afterAutospacing="0" w:line="560" w:lineRule="exact"/>
              <w:ind w:firstLine="61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826"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9:00—11:00</w:t>
            </w:r>
          </w:p>
        </w:tc>
        <w:tc>
          <w:tcPr>
            <w:tcW w:w="2637" w:type="dxa"/>
            <w:tcBorders>
              <w:top w:val="single" w:color="auto" w:sz="4" w:space="0"/>
              <w:left w:val="nil"/>
              <w:bottom w:val="single" w:color="auto" w:sz="4" w:space="0"/>
              <w:right w:val="single" w:color="auto" w:sz="4" w:space="0"/>
            </w:tcBorders>
            <w:noWrap w:val="0"/>
            <w:vAlign w:val="center"/>
          </w:tcPr>
          <w:p>
            <w:pPr>
              <w:pStyle w:val="6"/>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语文</w:t>
            </w:r>
          </w:p>
        </w:tc>
        <w:tc>
          <w:tcPr>
            <w:tcW w:w="2940" w:type="dxa"/>
            <w:tcBorders>
              <w:top w:val="single" w:color="auto" w:sz="4" w:space="0"/>
              <w:left w:val="nil"/>
              <w:bottom w:val="single" w:color="auto" w:sz="4" w:space="0"/>
              <w:right w:val="single" w:color="auto" w:sz="4" w:space="0"/>
            </w:tcBorders>
            <w:noWrap w:val="0"/>
            <w:vAlign w:val="center"/>
          </w:tcPr>
          <w:p>
            <w:pPr>
              <w:pStyle w:val="6"/>
              <w:snapToGrid w:val="0"/>
              <w:spacing w:before="0" w:beforeAutospacing="0" w:after="0" w:afterAutospacing="0" w:line="560" w:lineRule="exact"/>
              <w:ind w:firstLine="61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826"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14:30—16:30</w:t>
            </w:r>
          </w:p>
        </w:tc>
        <w:tc>
          <w:tcPr>
            <w:tcW w:w="2637" w:type="dxa"/>
            <w:tcBorders>
              <w:top w:val="single" w:color="auto" w:sz="4" w:space="0"/>
              <w:left w:val="nil"/>
              <w:bottom w:val="single" w:color="auto" w:sz="4" w:space="0"/>
              <w:right w:val="single" w:color="auto" w:sz="4" w:space="0"/>
            </w:tcBorders>
            <w:noWrap w:val="0"/>
            <w:vAlign w:val="center"/>
          </w:tcPr>
          <w:p>
            <w:pPr>
              <w:pStyle w:val="6"/>
              <w:snapToGrid w:val="0"/>
              <w:spacing w:before="0" w:beforeAutospacing="0" w:after="0" w:afterAutospacing="0" w:line="560" w:lineRule="exact"/>
              <w:ind w:firstLine="234"/>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数学（文科）</w:t>
            </w:r>
          </w:p>
          <w:p>
            <w:pPr>
              <w:pStyle w:val="6"/>
              <w:snapToGrid w:val="0"/>
              <w:spacing w:before="0" w:beforeAutospacing="0" w:after="0" w:afterAutospacing="0" w:line="560" w:lineRule="exact"/>
              <w:ind w:firstLine="92"/>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数学（理科）</w:t>
            </w:r>
          </w:p>
        </w:tc>
        <w:tc>
          <w:tcPr>
            <w:tcW w:w="2940" w:type="dxa"/>
            <w:tcBorders>
              <w:top w:val="single" w:color="auto" w:sz="4" w:space="0"/>
              <w:left w:val="nil"/>
              <w:bottom w:val="single" w:color="auto" w:sz="4" w:space="0"/>
              <w:right w:val="single" w:color="auto" w:sz="4" w:space="0"/>
            </w:tcBorders>
            <w:noWrap w:val="0"/>
            <w:vAlign w:val="center"/>
          </w:tcPr>
          <w:p>
            <w:pPr>
              <w:pStyle w:val="6"/>
              <w:snapToGrid w:val="0"/>
              <w:spacing w:before="0" w:beforeAutospacing="0" w:after="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史地（高起本文科）</w:t>
            </w:r>
          </w:p>
          <w:p>
            <w:pPr>
              <w:pStyle w:val="6"/>
              <w:snapToGrid w:val="0"/>
              <w:spacing w:before="0" w:beforeAutospacing="0" w:after="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理化（高起本理科）</w:t>
            </w:r>
          </w:p>
        </w:tc>
      </w:tr>
    </w:tbl>
    <w:p>
      <w:pPr>
        <w:pStyle w:val="6"/>
        <w:snapToGrid w:val="0"/>
        <w:spacing w:before="0" w:beforeAutospacing="0" w:after="0" w:afterAutospacing="0" w:line="560" w:lineRule="exact"/>
        <w:ind w:firstLine="616"/>
        <w:jc w:val="both"/>
        <w:rPr>
          <w:rFonts w:hint="eastAsia" w:ascii="Times New Roman" w:hAnsi="Times New Roman" w:eastAsia="仿宋_GB2312" w:cs="Times New Roman"/>
          <w:sz w:val="32"/>
          <w:szCs w:val="32"/>
        </w:rPr>
      </w:pPr>
    </w:p>
    <w:p>
      <w:pPr>
        <w:pStyle w:val="6"/>
        <w:snapToGrid w:val="0"/>
        <w:spacing w:before="0" w:beforeAutospacing="0" w:after="0" w:afterAutospacing="0" w:line="560" w:lineRule="exact"/>
        <w:ind w:firstLine="61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2.专升本考试时间表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1962"/>
        <w:gridCol w:w="234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82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6"/>
              <w:snapToGrid w:val="0"/>
              <w:spacing w:before="0" w:beforeAutospacing="0" w:after="0" w:afterAutospacing="0"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日期</w:t>
            </w:r>
          </w:p>
          <w:p>
            <w:pPr>
              <w:pStyle w:val="6"/>
              <w:snapToGrid w:val="0"/>
              <w:spacing w:before="0" w:beforeAutospacing="0" w:after="0" w:afterAutospacing="0"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时间</w:t>
            </w:r>
          </w:p>
        </w:tc>
        <w:tc>
          <w:tcPr>
            <w:tcW w:w="1962" w:type="dxa"/>
            <w:tcBorders>
              <w:top w:val="single" w:color="auto" w:sz="4" w:space="0"/>
              <w:left w:val="nil"/>
              <w:bottom w:val="single" w:color="auto" w:sz="4" w:space="0"/>
              <w:right w:val="single" w:color="auto" w:sz="4" w:space="0"/>
            </w:tcBorders>
            <w:noWrap w:val="0"/>
            <w:vAlign w:val="center"/>
          </w:tcPr>
          <w:p>
            <w:pPr>
              <w:pStyle w:val="6"/>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日</w:t>
            </w:r>
          </w:p>
        </w:tc>
        <w:tc>
          <w:tcPr>
            <w:tcW w:w="3615" w:type="dxa"/>
            <w:gridSpan w:val="2"/>
            <w:tcBorders>
              <w:top w:val="single" w:color="auto" w:sz="4" w:space="0"/>
              <w:left w:val="nil"/>
              <w:bottom w:val="single" w:color="auto" w:sz="4" w:space="0"/>
              <w:right w:val="single" w:color="auto" w:sz="4" w:space="0"/>
            </w:tcBorders>
            <w:noWrap w:val="0"/>
            <w:vAlign w:val="center"/>
          </w:tcPr>
          <w:p>
            <w:pPr>
              <w:pStyle w:val="6"/>
              <w:snapToGrid w:val="0"/>
              <w:spacing w:before="0" w:beforeAutospacing="0" w:after="0" w:afterAutospacing="0" w:line="560" w:lineRule="exact"/>
              <w:ind w:firstLine="61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2826"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0" w:beforeAutospacing="0" w:after="0" w:afterAutospacing="0" w:line="560" w:lineRule="exact"/>
              <w:ind w:firstLine="61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9:00—11:30</w:t>
            </w:r>
          </w:p>
        </w:tc>
        <w:tc>
          <w:tcPr>
            <w:tcW w:w="1962" w:type="dxa"/>
            <w:tcBorders>
              <w:top w:val="single" w:color="auto" w:sz="4" w:space="0"/>
              <w:left w:val="nil"/>
              <w:bottom w:val="single" w:color="auto" w:sz="4" w:space="0"/>
              <w:right w:val="single" w:color="auto" w:sz="4" w:space="0"/>
            </w:tcBorders>
            <w:noWrap w:val="0"/>
            <w:vAlign w:val="center"/>
          </w:tcPr>
          <w:p>
            <w:pPr>
              <w:pStyle w:val="6"/>
              <w:snapToGrid w:val="0"/>
              <w:spacing w:before="0" w:beforeAutospacing="0" w:after="0" w:afterAutospacing="0" w:line="560" w:lineRule="exact"/>
              <w:ind w:firstLine="61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政治</w:t>
            </w:r>
          </w:p>
        </w:tc>
        <w:tc>
          <w:tcPr>
            <w:tcW w:w="2340" w:type="dxa"/>
            <w:tcBorders>
              <w:top w:val="single" w:color="auto" w:sz="4" w:space="0"/>
              <w:left w:val="nil"/>
              <w:bottom w:val="single" w:color="auto" w:sz="4" w:space="0"/>
              <w:right w:val="single" w:color="auto" w:sz="4" w:space="0"/>
            </w:tcBorders>
            <w:noWrap w:val="0"/>
            <w:vAlign w:val="center"/>
          </w:tcPr>
          <w:p>
            <w:pPr>
              <w:pStyle w:val="6"/>
              <w:snapToGrid w:val="0"/>
              <w:spacing w:before="0" w:beforeAutospacing="0" w:after="0" w:afterAutospacing="0" w:line="560" w:lineRule="exact"/>
              <w:ind w:hanging="27"/>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大学语文</w:t>
            </w:r>
          </w:p>
          <w:p>
            <w:pPr>
              <w:pStyle w:val="6"/>
              <w:snapToGrid w:val="0"/>
              <w:spacing w:before="0" w:beforeAutospacing="0" w:after="0" w:afterAutospacing="0" w:line="560" w:lineRule="exact"/>
              <w:ind w:hanging="27"/>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艺术概论</w:t>
            </w:r>
          </w:p>
          <w:p>
            <w:pPr>
              <w:pStyle w:val="6"/>
              <w:snapToGrid w:val="0"/>
              <w:spacing w:before="0" w:beforeAutospacing="0" w:after="0" w:afterAutospacing="0" w:line="560" w:lineRule="exact"/>
              <w:ind w:hanging="27"/>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高等数学（一）</w:t>
            </w:r>
          </w:p>
          <w:p>
            <w:pPr>
              <w:pStyle w:val="6"/>
              <w:snapToGrid w:val="0"/>
              <w:spacing w:before="0" w:beforeAutospacing="0" w:after="0" w:afterAutospacing="0" w:line="560" w:lineRule="exact"/>
              <w:ind w:hanging="27"/>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高等数学（二）</w:t>
            </w:r>
          </w:p>
          <w:p>
            <w:pPr>
              <w:pStyle w:val="6"/>
              <w:snapToGrid w:val="0"/>
              <w:spacing w:before="0" w:beforeAutospacing="0" w:after="0" w:afterAutospacing="0" w:line="560" w:lineRule="exact"/>
              <w:ind w:hanging="27"/>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民法</w:t>
            </w:r>
          </w:p>
          <w:p>
            <w:pPr>
              <w:pStyle w:val="6"/>
              <w:snapToGrid w:val="0"/>
              <w:spacing w:before="0" w:beforeAutospacing="0" w:after="0" w:afterAutospacing="0" w:line="560" w:lineRule="exact"/>
              <w:ind w:hanging="27"/>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教育理论</w:t>
            </w:r>
          </w:p>
          <w:p>
            <w:pPr>
              <w:pStyle w:val="6"/>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生态学基础</w:t>
            </w:r>
          </w:p>
          <w:p>
            <w:pPr>
              <w:pStyle w:val="6"/>
              <w:snapToGrid w:val="0"/>
              <w:spacing w:before="0" w:beforeAutospacing="0" w:after="0" w:afterAutospacing="0" w:line="560" w:lineRule="exact"/>
              <w:ind w:hanging="27"/>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医学综合</w:t>
            </w:r>
          </w:p>
        </w:tc>
        <w:tc>
          <w:tcPr>
            <w:tcW w:w="1275" w:type="dxa"/>
            <w:tcBorders>
              <w:top w:val="single" w:color="auto" w:sz="4" w:space="0"/>
              <w:left w:val="nil"/>
              <w:bottom w:val="single" w:color="auto" w:sz="4" w:space="0"/>
              <w:right w:val="single" w:color="auto" w:sz="4" w:space="0"/>
            </w:tcBorders>
            <w:noWrap w:val="0"/>
            <w:vAlign w:val="center"/>
          </w:tcPr>
          <w:p>
            <w:pPr>
              <w:pStyle w:val="6"/>
              <w:snapToGrid w:val="0"/>
              <w:spacing w:before="0" w:beforeAutospacing="0" w:after="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考生根据报考专业选择一门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826" w:type="dxa"/>
            <w:tcBorders>
              <w:top w:val="single" w:color="auto" w:sz="4" w:space="0"/>
              <w:left w:val="single" w:color="auto" w:sz="4" w:space="0"/>
              <w:bottom w:val="single" w:color="auto" w:sz="4" w:space="0"/>
              <w:right w:val="single" w:color="auto" w:sz="4" w:space="0"/>
            </w:tcBorders>
            <w:noWrap w:val="0"/>
            <w:vAlign w:val="center"/>
          </w:tcPr>
          <w:p>
            <w:pPr>
              <w:pStyle w:val="4"/>
              <w:spacing w:line="560" w:lineRule="exact"/>
              <w:jc w:val="center"/>
              <w:rPr>
                <w:rFonts w:ascii="Times New Roman" w:hAnsi="Times New Roman" w:eastAsia="仿宋_GB2312"/>
                <w:sz w:val="32"/>
                <w:szCs w:val="32"/>
              </w:rPr>
            </w:pPr>
            <w:r>
              <w:rPr>
                <w:rFonts w:ascii="Times New Roman" w:hAnsi="Times New Roman" w:eastAsia="仿宋_GB2312"/>
                <w:sz w:val="32"/>
                <w:szCs w:val="32"/>
              </w:rPr>
              <w:t>14:30—17:00</w:t>
            </w:r>
          </w:p>
        </w:tc>
        <w:tc>
          <w:tcPr>
            <w:tcW w:w="1962" w:type="dxa"/>
            <w:tcBorders>
              <w:top w:val="single" w:color="auto" w:sz="4" w:space="0"/>
              <w:left w:val="nil"/>
              <w:bottom w:val="single" w:color="auto" w:sz="4" w:space="0"/>
              <w:right w:val="single" w:color="auto" w:sz="4" w:space="0"/>
            </w:tcBorders>
            <w:noWrap w:val="0"/>
            <w:vAlign w:val="center"/>
          </w:tcPr>
          <w:p>
            <w:pPr>
              <w:pStyle w:val="4"/>
              <w:spacing w:line="560" w:lineRule="exact"/>
              <w:jc w:val="center"/>
              <w:rPr>
                <w:rFonts w:ascii="Times New Roman" w:hAnsi="Times New Roman" w:eastAsia="仿宋_GB2312"/>
                <w:sz w:val="32"/>
                <w:szCs w:val="32"/>
              </w:rPr>
            </w:pPr>
            <w:r>
              <w:rPr>
                <w:rFonts w:ascii="Times New Roman" w:hAnsi="Times New Roman" w:eastAsia="仿宋_GB2312"/>
                <w:sz w:val="32"/>
                <w:szCs w:val="32"/>
              </w:rPr>
              <w:t>外语</w:t>
            </w:r>
          </w:p>
        </w:tc>
        <w:tc>
          <w:tcPr>
            <w:tcW w:w="2340" w:type="dxa"/>
            <w:tcBorders>
              <w:top w:val="single" w:color="auto" w:sz="4" w:space="0"/>
              <w:left w:val="nil"/>
              <w:bottom w:val="single" w:color="auto" w:sz="4" w:space="0"/>
              <w:right w:val="single" w:color="auto" w:sz="4" w:space="0"/>
            </w:tcBorders>
            <w:noWrap w:val="0"/>
            <w:vAlign w:val="center"/>
          </w:tcPr>
          <w:p>
            <w:pPr>
              <w:pStyle w:val="4"/>
              <w:spacing w:line="560" w:lineRule="exact"/>
              <w:jc w:val="center"/>
              <w:rPr>
                <w:rFonts w:ascii="Times New Roman" w:hAnsi="Times New Roman" w:eastAsia="仿宋_GB2312"/>
                <w:sz w:val="32"/>
                <w:szCs w:val="32"/>
              </w:rPr>
            </w:pPr>
          </w:p>
        </w:tc>
        <w:tc>
          <w:tcPr>
            <w:tcW w:w="1275" w:type="dxa"/>
            <w:tcBorders>
              <w:top w:val="single" w:color="auto" w:sz="4" w:space="0"/>
              <w:left w:val="nil"/>
              <w:bottom w:val="single" w:color="auto" w:sz="4" w:space="0"/>
              <w:right w:val="single" w:color="auto" w:sz="4" w:space="0"/>
            </w:tcBorders>
            <w:noWrap w:val="0"/>
            <w:vAlign w:val="center"/>
          </w:tcPr>
          <w:p>
            <w:pPr>
              <w:pStyle w:val="4"/>
              <w:spacing w:line="560" w:lineRule="exact"/>
              <w:jc w:val="center"/>
              <w:rPr>
                <w:rFonts w:ascii="Times New Roman" w:hAnsi="Times New Roman" w:eastAsia="仿宋_GB2312"/>
                <w:sz w:val="32"/>
                <w:szCs w:val="32"/>
              </w:rPr>
            </w:pPr>
          </w:p>
        </w:tc>
      </w:tr>
    </w:tbl>
    <w:p>
      <w:pPr>
        <w:pStyle w:val="6"/>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楷体" w:cs="Times New Roman"/>
          <w:sz w:val="32"/>
          <w:szCs w:val="32"/>
        </w:rPr>
        <w:t>（三）考试组织</w:t>
      </w:r>
    </w:p>
    <w:p>
      <w:pPr>
        <w:pStyle w:val="6"/>
        <w:widowControl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各级招生考试机构根据202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省成人高校招生有关考务管理规定组织考试工作。</w:t>
      </w:r>
    </w:p>
    <w:p>
      <w:pPr>
        <w:pStyle w:val="6"/>
        <w:widowControl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评卷工作由</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省教育考试院统一组织，所有科目均实</w:t>
      </w:r>
      <w:r>
        <w:rPr>
          <w:rFonts w:hint="eastAsia" w:ascii="Times New Roman" w:hAnsi="Times New Roman" w:eastAsia="仿宋_GB2312" w:cs="Times New Roman"/>
          <w:sz w:val="32"/>
          <w:szCs w:val="32"/>
        </w:rPr>
        <w:t>行</w:t>
      </w:r>
      <w:r>
        <w:rPr>
          <w:rFonts w:ascii="Times New Roman" w:hAnsi="Times New Roman" w:eastAsia="仿宋_GB2312" w:cs="Times New Roman"/>
          <w:sz w:val="32"/>
          <w:szCs w:val="32"/>
        </w:rPr>
        <w:t>网上阅卷。成绩</w:t>
      </w:r>
      <w:r>
        <w:rPr>
          <w:rFonts w:hint="eastAsia" w:ascii="Times New Roman" w:hAnsi="Times New Roman" w:eastAsia="仿宋_GB2312" w:cs="Times New Roman"/>
          <w:sz w:val="32"/>
          <w:szCs w:val="32"/>
        </w:rPr>
        <w:t>发布后，</w:t>
      </w:r>
      <w:r>
        <w:rPr>
          <w:rFonts w:ascii="Times New Roman" w:hAnsi="Times New Roman" w:eastAsia="仿宋_GB2312" w:cs="Times New Roman"/>
          <w:sz w:val="32"/>
          <w:szCs w:val="32"/>
        </w:rPr>
        <w:t>考生可登录浙江省教育考试院官网查询、打印本人考试成绩。</w:t>
      </w:r>
    </w:p>
    <w:p>
      <w:pPr>
        <w:pStyle w:val="6"/>
        <w:snapToGrid w:val="0"/>
        <w:spacing w:before="0" w:beforeAutospacing="0" w:after="0" w:afterAutospacing="0" w:line="540" w:lineRule="exact"/>
        <w:ind w:firstLine="617" w:firstLineChars="193"/>
        <w:jc w:val="both"/>
        <w:rPr>
          <w:rFonts w:ascii="Times New Roman" w:hAnsi="Times New Roman" w:eastAsia="仿宋_GB2312" w:cs="Times New Roman"/>
          <w:sz w:val="32"/>
          <w:szCs w:val="32"/>
        </w:rPr>
      </w:pPr>
      <w:r>
        <w:rPr>
          <w:rFonts w:ascii="Times New Roman" w:hAnsi="Times New Roman" w:eastAsia="黑体" w:cs="Times New Roman"/>
          <w:sz w:val="32"/>
          <w:szCs w:val="32"/>
        </w:rPr>
        <w:t>六、录取</w:t>
      </w:r>
    </w:p>
    <w:p>
      <w:pPr>
        <w:pStyle w:val="6"/>
        <w:snapToGrid w:val="0"/>
        <w:spacing w:before="0" w:beforeAutospacing="0" w:after="0" w:afterAutospacing="0" w:line="560" w:lineRule="exact"/>
        <w:ind w:firstLine="56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省高</w:t>
      </w:r>
      <w:r>
        <w:rPr>
          <w:rFonts w:hint="eastAsia" w:ascii="Times New Roman" w:hAnsi="Times New Roman" w:eastAsia="仿宋_GB2312" w:cs="Times New Roman"/>
          <w:sz w:val="32"/>
          <w:szCs w:val="32"/>
        </w:rPr>
        <w:t>等学</w:t>
      </w:r>
      <w:r>
        <w:rPr>
          <w:rFonts w:ascii="Times New Roman" w:hAnsi="Times New Roman" w:eastAsia="仿宋_GB2312" w:cs="Times New Roman"/>
          <w:sz w:val="32"/>
          <w:szCs w:val="32"/>
        </w:rPr>
        <w:t>校招生委员会根据成人高等教育对新生的最基本要求，参照考生统考科目成绩和招生规模划定各批次录取最低控制分数线。</w:t>
      </w:r>
    </w:p>
    <w:p>
      <w:pPr>
        <w:pStyle w:val="6"/>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高起本、高起专艺术类专业（除史论、编导类专业外）和体育类专业的最低控制分数线，按不低于本省高起本、高起专相应招生类型和考试科类最低控制分数线的70%划定。艺术类和体育类专业考生在文化统考成绩达到最低录取控制分数线的基础上，原则上按加试专业课成绩从高分到低分择优录取，若加试专业课成绩相同，则按文化统考成绩高低择优录取，如招生院校另行制订录取规则的须在招生章程中说明并向社会公布。</w:t>
      </w:r>
    </w:p>
    <w:p>
      <w:pPr>
        <w:pStyle w:val="3"/>
        <w:tabs>
          <w:tab w:val="left" w:pos="315"/>
        </w:tabs>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高起专的公安类招生院校的全部专业、医学（药学类除外）专业、中央司法警官学院的监狱管理专业和劳教管理专业，如在统一控制分数线上生源不足，可降低最低控制分数线，但不低于同科类最低控制分数线的70%。</w:t>
      </w:r>
    </w:p>
    <w:p>
      <w:pPr>
        <w:pStyle w:val="6"/>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外语、外经、外贸专业的外语单科成绩要求，由招生院校确定，并向社会公布。</w:t>
      </w:r>
    </w:p>
    <w:p>
      <w:pPr>
        <w:pStyle w:val="3"/>
        <w:tabs>
          <w:tab w:val="left" w:pos="315"/>
        </w:tabs>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（二）录取工作实</w:t>
      </w:r>
      <w:r>
        <w:rPr>
          <w:rFonts w:ascii="Times New Roman" w:hAnsi="Times New Roman" w:eastAsia="仿宋_GB2312"/>
          <w:kern w:val="0"/>
          <w:sz w:val="32"/>
          <w:szCs w:val="32"/>
        </w:rPr>
        <w:t>行“招生院校负责、省教育考试院监督”的</w:t>
      </w:r>
      <w:r>
        <w:rPr>
          <w:rFonts w:ascii="Times New Roman" w:hAnsi="Times New Roman" w:eastAsia="仿宋_GB2312"/>
          <w:sz w:val="32"/>
          <w:szCs w:val="32"/>
        </w:rPr>
        <w:t>录取体制。各招生院校应根据成人高校办学特点，制定录取原则并提前在招生章程中向社会公布。浙江省教育考试院根据考生志愿，分科类按招生计划的105%比例向学校投放考生电子档案。招生院校在符合报考条件、考试成绩达到投档分数线的考生中，按照从高分到低分择优录取的原则，决定考生录取与否和录取的专业，同时负责对遗留问题的处理。浙江省教育考试院对招生院校在录取过程中执行招生政策、招生计划的情况进行审核和监督。未完成的招生计划，统一公开征集志愿录取。</w:t>
      </w:r>
    </w:p>
    <w:p>
      <w:pPr>
        <w:pStyle w:val="6"/>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（三）实行远程网上录取，录取时间为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023年12月</w:t>
      </w:r>
    </w:p>
    <w:p>
      <w:pPr>
        <w:pStyle w:val="6"/>
        <w:snapToGrid w:val="0"/>
        <w:spacing w:before="0" w:beforeAutospacing="0" w:after="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第一批：高起本、专升本专业；</w:t>
      </w:r>
    </w:p>
    <w:p>
      <w:pPr>
        <w:pStyle w:val="6"/>
        <w:snapToGrid w:val="0"/>
        <w:spacing w:before="0" w:beforeAutospacing="0" w:after="0" w:afterAutospacing="0" w:line="560" w:lineRule="exact"/>
        <w:ind w:firstLine="645"/>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第二批：高起专专业。</w:t>
      </w:r>
    </w:p>
    <w:p>
      <w:pPr>
        <w:pStyle w:val="6"/>
        <w:numPr>
          <w:ilvl w:val="0"/>
          <w:numId w:val="1"/>
        </w:numPr>
        <w:snapToGrid w:val="0"/>
        <w:spacing w:before="0" w:beforeAutospacing="0" w:after="0" w:afterAutospacing="0" w:line="560" w:lineRule="exact"/>
        <w:ind w:firstLine="61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免试录取和投档照顾政策</w:t>
      </w:r>
    </w:p>
    <w:p>
      <w:pPr>
        <w:pStyle w:val="6"/>
        <w:snapToGrid w:val="0"/>
        <w:spacing w:before="0" w:beforeAutospacing="0" w:after="0" w:afterAutospacing="0" w:line="560" w:lineRule="exact"/>
        <w:ind w:left="616"/>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可申请免试入学的考生</w:t>
      </w:r>
    </w:p>
    <w:p>
      <w:pPr>
        <w:pStyle w:val="6"/>
        <w:snapToGrid w:val="0"/>
        <w:spacing w:before="0" w:beforeAutospacing="0" w:after="0" w:afterAutospacing="0" w:line="54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sz w:val="32"/>
          <w:szCs w:val="32"/>
        </w:rPr>
        <w:t>1.“全国劳动模范”“全国先进工作者”称号和“全国‘五一’劳动奖章”获得者</w:t>
      </w:r>
      <w:r>
        <w:rPr>
          <w:rFonts w:hint="eastAsia" w:ascii="Times New Roman" w:hAnsi="Times New Roman" w:eastAsia="仿宋_GB2312"/>
          <w:sz w:val="32"/>
          <w:szCs w:val="32"/>
        </w:rPr>
        <w:t>。</w:t>
      </w:r>
    </w:p>
    <w:p>
      <w:pPr>
        <w:pStyle w:val="6"/>
        <w:snapToGrid w:val="0"/>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上述运动员经本人申请并出具省级体育行政部门审核的《优秀运动员申请免试进入成人高等学校学习推荐表》（国家体育总局监制）。</w:t>
      </w:r>
    </w:p>
    <w:p>
      <w:pPr>
        <w:pStyle w:val="6"/>
        <w:snapToGrid w:val="0"/>
        <w:spacing w:before="0" w:beforeAutospacing="0" w:after="0" w:afterAutospacing="0" w:line="540" w:lineRule="exact"/>
        <w:ind w:firstLine="630"/>
        <w:jc w:val="both"/>
        <w:rPr>
          <w:rFonts w:ascii="Times New Roman" w:hAnsi="Times New Roman" w:eastAsia="仿宋_GB2312"/>
          <w:sz w:val="32"/>
          <w:szCs w:val="32"/>
        </w:rPr>
      </w:pPr>
      <w:r>
        <w:rPr>
          <w:rFonts w:ascii="Times New Roman" w:hAnsi="Times New Roman" w:eastAsia="仿宋_GB2312"/>
          <w:sz w:val="32"/>
          <w:szCs w:val="32"/>
        </w:rPr>
        <w:t>3.参加“选聘高校毕业生到村任职”“三支一扶（支教、支农、支医和扶贫）”“大学生志愿服务西部计划”“农村义务教育阶段学校教师特设岗位计划”等项目服务期满并考核合格的普通高职（专科）毕业生，凭身份证、普通高职（专科）毕业证、相关项目考核合格证，可申请免试就读</w:t>
      </w:r>
      <w:r>
        <w:rPr>
          <w:rFonts w:hint="eastAsia" w:ascii="Times New Roman" w:hAnsi="Times New Roman" w:eastAsia="仿宋_GB2312"/>
          <w:sz w:val="32"/>
          <w:szCs w:val="32"/>
        </w:rPr>
        <w:t>浙江</w:t>
      </w:r>
      <w:r>
        <w:rPr>
          <w:rFonts w:ascii="Times New Roman" w:hAnsi="Times New Roman" w:eastAsia="仿宋_GB2312"/>
          <w:sz w:val="32"/>
          <w:szCs w:val="32"/>
        </w:rPr>
        <w:t>省的成人高校专升本。</w:t>
      </w:r>
    </w:p>
    <w:p>
      <w:pPr>
        <w:spacing w:line="540" w:lineRule="exact"/>
        <w:ind w:firstLine="570"/>
        <w:rPr>
          <w:rFonts w:ascii="Times New Roman" w:hAnsi="Times New Roman" w:eastAsia="仿宋_GB2312"/>
          <w:sz w:val="32"/>
          <w:szCs w:val="32"/>
        </w:rPr>
      </w:pPr>
      <w:r>
        <w:rPr>
          <w:rFonts w:ascii="Times New Roman" w:hAnsi="Times New Roman" w:eastAsia="仿宋_GB2312"/>
          <w:sz w:val="32"/>
          <w:szCs w:val="32"/>
        </w:rPr>
        <w:t>退役军人（退役士兵、军转干部、复员干部），凭身份证、退役证（义务兵/士官退出现役证、军官转业证书、军官复员证书）及符合相应报考条件的学历证书，可申请免试就读</w:t>
      </w:r>
      <w:r>
        <w:rPr>
          <w:rFonts w:hint="eastAsia" w:ascii="Times New Roman" w:hAnsi="Times New Roman" w:eastAsia="仿宋_GB2312"/>
          <w:sz w:val="32"/>
          <w:szCs w:val="32"/>
        </w:rPr>
        <w:t>浙江</w:t>
      </w:r>
      <w:r>
        <w:rPr>
          <w:rFonts w:ascii="Times New Roman" w:hAnsi="Times New Roman" w:eastAsia="仿宋_GB2312"/>
          <w:sz w:val="32"/>
          <w:szCs w:val="32"/>
        </w:rPr>
        <w:t>省的成人高校专升本。</w:t>
      </w:r>
    </w:p>
    <w:p>
      <w:pPr>
        <w:adjustRightInd w:val="0"/>
        <w:snapToGrid w:val="0"/>
        <w:spacing w:line="540" w:lineRule="exact"/>
        <w:ind w:firstLine="640" w:firstLineChars="200"/>
        <w:rPr>
          <w:rFonts w:ascii="Times New Roman" w:hAnsi="Times New Roman" w:eastAsia="黑体"/>
          <w:sz w:val="32"/>
          <w:szCs w:val="32"/>
        </w:rPr>
      </w:pPr>
      <w:r>
        <w:rPr>
          <w:rFonts w:ascii="Times New Roman" w:hAnsi="Times New Roman" w:eastAsia="楷体_GB2312"/>
          <w:sz w:val="32"/>
          <w:szCs w:val="32"/>
        </w:rPr>
        <w:t>符合加分投档政策的考生</w:t>
      </w:r>
    </w:p>
    <w:p>
      <w:pPr>
        <w:pStyle w:val="6"/>
        <w:snapToGrid w:val="0"/>
        <w:spacing w:before="0" w:beforeAutospacing="0" w:after="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运动健将和武术项目武英级运动员称号获得者（须经省级体育行政部门审核并出具运动成绩证明），在考生考试成绩的基础上加50分投档，一级运动员称号获得者，在考生考试成绩的基础上加30分投档，是否录取由招生院校确定。</w:t>
      </w:r>
    </w:p>
    <w:p>
      <w:pPr>
        <w:pStyle w:val="6"/>
        <w:snapToGrid w:val="0"/>
        <w:spacing w:before="0" w:beforeAutospacing="0" w:after="0" w:afterAutospacing="0" w:line="540" w:lineRule="exact"/>
        <w:jc w:val="both"/>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2</w:t>
      </w:r>
      <w:r>
        <w:rPr>
          <w:rFonts w:ascii="Times New Roman" w:hAnsi="Times New Roman" w:eastAsia="仿宋_GB2312"/>
          <w:sz w:val="32"/>
          <w:szCs w:val="32"/>
        </w:rPr>
        <w:t>.符合下列条件之一的考生，在考生考试成绩的基础上加20分投档，是否录取由招生院校确定。</w:t>
      </w:r>
    </w:p>
    <w:p>
      <w:pPr>
        <w:pStyle w:val="6"/>
        <w:snapToGrid w:val="0"/>
        <w:spacing w:before="0" w:beforeAutospacing="0" w:after="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sz w:val="32"/>
          <w:szCs w:val="32"/>
        </w:rPr>
        <w:t>（1）</w:t>
      </w:r>
      <w:r>
        <w:rPr>
          <w:rFonts w:ascii="Times New Roman" w:hAnsi="Times New Roman" w:eastAsia="仿宋_GB2312"/>
          <w:sz w:val="32"/>
          <w:szCs w:val="32"/>
        </w:rPr>
        <w:t>地级以上（含地级）人民政府，国务院各部委及各省、自治区、直辖市厅（局）系统，国家特大型企业授予的劳动模范、先进生产（工作）者及科技进步（成果）奖获得者。</w:t>
      </w:r>
    </w:p>
    <w:p>
      <w:pPr>
        <w:pStyle w:val="6"/>
        <w:snapToGrid w:val="0"/>
        <w:spacing w:before="0" w:beforeAutospacing="0" w:after="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sz w:val="32"/>
          <w:szCs w:val="32"/>
        </w:rPr>
        <w:t>（2）</w:t>
      </w:r>
      <w:r>
        <w:rPr>
          <w:rFonts w:ascii="Times New Roman" w:hAnsi="Times New Roman" w:eastAsia="仿宋_GB2312"/>
          <w:sz w:val="32"/>
          <w:szCs w:val="32"/>
        </w:rPr>
        <w:t>省级工、青、妇等组织授予的“五一劳动奖章”“新长征突击手”“三八红旗手”称号获得者。</w:t>
      </w:r>
    </w:p>
    <w:p>
      <w:pPr>
        <w:pStyle w:val="6"/>
        <w:snapToGrid w:val="0"/>
        <w:spacing w:before="0" w:beforeAutospacing="0" w:after="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sz w:val="32"/>
          <w:szCs w:val="32"/>
        </w:rPr>
        <w:t>（3）</w:t>
      </w:r>
      <w:r>
        <w:rPr>
          <w:rFonts w:ascii="Times New Roman" w:hAnsi="Times New Roman" w:eastAsia="仿宋_GB2312"/>
          <w:sz w:val="32"/>
          <w:szCs w:val="32"/>
        </w:rPr>
        <w:t>解放军、武警部队、公安干警荣立个人三等功及以上者。</w:t>
      </w:r>
    </w:p>
    <w:p>
      <w:pPr>
        <w:pStyle w:val="6"/>
        <w:snapToGrid w:val="0"/>
        <w:spacing w:before="0" w:beforeAutospacing="0" w:after="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sz w:val="32"/>
          <w:szCs w:val="32"/>
        </w:rPr>
        <w:t>（4）</w:t>
      </w:r>
      <w:r>
        <w:rPr>
          <w:rFonts w:ascii="Times New Roman" w:hAnsi="Times New Roman" w:eastAsia="仿宋_GB2312"/>
          <w:sz w:val="32"/>
          <w:szCs w:val="32"/>
        </w:rPr>
        <w:t>归侨、归侨子女、华侨子女、台湾省籍考生。</w:t>
      </w:r>
    </w:p>
    <w:p>
      <w:pPr>
        <w:pStyle w:val="6"/>
        <w:snapToGrid w:val="0"/>
        <w:spacing w:before="0" w:beforeAutospacing="0" w:after="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sz w:val="32"/>
          <w:szCs w:val="32"/>
        </w:rPr>
        <w:t>（5）</w:t>
      </w:r>
      <w:r>
        <w:rPr>
          <w:rFonts w:ascii="Times New Roman" w:hAnsi="Times New Roman" w:eastAsia="仿宋_GB2312"/>
          <w:sz w:val="32"/>
          <w:szCs w:val="32"/>
        </w:rPr>
        <w:t>烈士子女、烈士配偶。</w:t>
      </w:r>
    </w:p>
    <w:p>
      <w:pPr>
        <w:pStyle w:val="4"/>
        <w:spacing w:line="540" w:lineRule="exact"/>
        <w:ind w:firstLine="640" w:firstLineChars="200"/>
        <w:rPr>
          <w:rFonts w:ascii="Times New Roman" w:hAnsi="Times New Roman" w:eastAsia="仿宋_GB2312"/>
          <w:sz w:val="30"/>
          <w:szCs w:val="30"/>
          <w:highlight w:val="yellow"/>
        </w:rPr>
      </w:pPr>
      <w:r>
        <w:rPr>
          <w:rFonts w:hint="eastAsia" w:ascii="Times New Roman" w:hAnsi="Times New Roman"/>
          <w:sz w:val="32"/>
          <w:szCs w:val="32"/>
        </w:rPr>
        <w:t>（6）</w:t>
      </w:r>
      <w:r>
        <w:rPr>
          <w:rFonts w:ascii="Times New Roman" w:hAnsi="Times New Roman" w:eastAsia="仿宋_GB2312"/>
          <w:sz w:val="32"/>
          <w:szCs w:val="32"/>
        </w:rPr>
        <w:t>少数民族考生。</w:t>
      </w:r>
    </w:p>
    <w:p>
      <w:pPr>
        <w:pStyle w:val="4"/>
        <w:spacing w:line="540" w:lineRule="exact"/>
        <w:ind w:firstLine="640" w:firstLineChars="200"/>
        <w:rPr>
          <w:rFonts w:ascii="Times New Roman" w:hAnsi="Times New Roman" w:eastAsia="仿宋_GB2312"/>
          <w:sz w:val="32"/>
          <w:szCs w:val="32"/>
        </w:rPr>
      </w:pPr>
      <w:r>
        <w:rPr>
          <w:rFonts w:hint="eastAsia" w:ascii="Times New Roman" w:hAnsi="Times New Roman"/>
          <w:sz w:val="32"/>
          <w:szCs w:val="32"/>
        </w:rPr>
        <w:t>（7）</w:t>
      </w:r>
      <w:r>
        <w:rPr>
          <w:rFonts w:ascii="Times New Roman" w:hAnsi="Times New Roman" w:eastAsia="仿宋_GB2312"/>
          <w:sz w:val="32"/>
          <w:szCs w:val="32"/>
        </w:rPr>
        <w:t>国防科技工业三线企业单位（位于地级以上人民政府所在地的除外）获得企业表彰的先进生产（工作）者。</w:t>
      </w:r>
    </w:p>
    <w:p>
      <w:pPr>
        <w:pStyle w:val="4"/>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年满25周岁（199</w:t>
      </w:r>
      <w:r>
        <w:rPr>
          <w:rFonts w:hint="eastAsia" w:ascii="Times New Roman" w:hAnsi="Times New Roman" w:eastAsia="仿宋_GB2312"/>
          <w:sz w:val="32"/>
          <w:szCs w:val="32"/>
        </w:rPr>
        <w:t>8</w:t>
      </w:r>
      <w:r>
        <w:rPr>
          <w:rFonts w:ascii="Times New Roman" w:hAnsi="Times New Roman" w:eastAsia="仿宋_GB2312"/>
          <w:sz w:val="32"/>
          <w:szCs w:val="32"/>
        </w:rPr>
        <w:t>年12月31日前出生）以上人员。</w:t>
      </w:r>
    </w:p>
    <w:p>
      <w:pPr>
        <w:pStyle w:val="4"/>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.报考成人高校高起本、高起专的退役</w:t>
      </w:r>
      <w:r>
        <w:rPr>
          <w:rFonts w:hint="eastAsia" w:ascii="Times New Roman" w:hAnsi="Times New Roman" w:eastAsia="仿宋_GB2312"/>
          <w:sz w:val="32"/>
          <w:szCs w:val="32"/>
        </w:rPr>
        <w:t>军人</w:t>
      </w:r>
      <w:r>
        <w:rPr>
          <w:rFonts w:ascii="Times New Roman" w:hAnsi="Times New Roman" w:eastAsia="仿宋_GB2312"/>
          <w:sz w:val="32"/>
          <w:szCs w:val="32"/>
        </w:rPr>
        <w:t>，省级招生考试机构可以在考生考试成绩基础上增加10分投档，是否录取由招生学校确定。</w:t>
      </w:r>
    </w:p>
    <w:p>
      <w:pPr>
        <w:pStyle w:val="4"/>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同时符合两项以上政策加分的考生，取其加分值最大的加分项目。</w:t>
      </w:r>
    </w:p>
    <w:p>
      <w:pPr>
        <w:pStyle w:val="6"/>
        <w:snapToGrid w:val="0"/>
        <w:spacing w:before="0" w:beforeAutospacing="0" w:after="0" w:afterAutospacing="0" w:line="540" w:lineRule="exact"/>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其他投档优惠政策</w:t>
      </w:r>
    </w:p>
    <w:p>
      <w:pPr>
        <w:pStyle w:val="6"/>
        <w:snapToGrid w:val="0"/>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1.对农林、水利、地质、矿业、测绘、远洋运输、社会福利类所有专业，以及专升本、高起本的公安、监狱、劳教类专业，在上线生源不足时可适当降分投档，降分最大幅度不超过20分。</w:t>
      </w:r>
    </w:p>
    <w:p>
      <w:pPr>
        <w:pStyle w:val="6"/>
        <w:snapToGrid w:val="0"/>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2.在职中小学</w:t>
      </w:r>
      <w:r>
        <w:rPr>
          <w:rFonts w:hint="eastAsia" w:ascii="Times New Roman" w:hAnsi="Times New Roman" w:eastAsia="仿宋_GB2312"/>
          <w:sz w:val="32"/>
          <w:szCs w:val="32"/>
        </w:rPr>
        <w:t>教师（含幼儿园教师）</w:t>
      </w:r>
      <w:r>
        <w:rPr>
          <w:rFonts w:ascii="Times New Roman" w:hAnsi="Times New Roman" w:eastAsia="仿宋_GB2312"/>
          <w:sz w:val="32"/>
          <w:szCs w:val="32"/>
        </w:rPr>
        <w:t>报考</w:t>
      </w:r>
      <w:r>
        <w:rPr>
          <w:rFonts w:hint="eastAsia" w:ascii="Times New Roman" w:hAnsi="Times New Roman" w:eastAsia="仿宋_GB2312"/>
          <w:sz w:val="32"/>
          <w:szCs w:val="32"/>
        </w:rPr>
        <w:t>浙江省成人高校</w:t>
      </w:r>
      <w:r>
        <w:rPr>
          <w:rFonts w:ascii="Times New Roman" w:hAnsi="Times New Roman" w:eastAsia="仿宋_GB2312"/>
          <w:sz w:val="32"/>
          <w:szCs w:val="32"/>
        </w:rPr>
        <w:t>专升本</w:t>
      </w:r>
      <w:r>
        <w:rPr>
          <w:rFonts w:hint="eastAsia" w:ascii="Times New Roman" w:hAnsi="Times New Roman" w:eastAsia="仿宋_GB2312"/>
          <w:sz w:val="32"/>
          <w:szCs w:val="32"/>
        </w:rPr>
        <w:t>的</w:t>
      </w:r>
      <w:r>
        <w:rPr>
          <w:rFonts w:ascii="Times New Roman" w:hAnsi="Times New Roman" w:eastAsia="仿宋_GB2312"/>
          <w:sz w:val="32"/>
          <w:szCs w:val="32"/>
        </w:rPr>
        <w:t>，成绩达到录取最低控制分数线的，原则上均予以录取。</w:t>
      </w:r>
    </w:p>
    <w:p>
      <w:pPr>
        <w:pStyle w:val="6"/>
        <w:snapToGrid w:val="0"/>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招收“双元制”的高职专业在录取时采用以下加分政策：首先执行成人高校招生统一加分政策；其次具有中级工职业资格的考生加20分，具有高级工及以上职业资格的加30分。统一加分政策优先于职业资格加分，同时符合两项及以上加分政策的考生不得累计加分，按其中最大加分值项目加分。</w:t>
      </w:r>
    </w:p>
    <w:p>
      <w:pPr>
        <w:pStyle w:val="6"/>
        <w:snapToGrid w:val="0"/>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职业资格加分只有在报考“双元制”高职专业时有效，其加分值不直接计入考生考试成绩。</w:t>
      </w:r>
    </w:p>
    <w:p>
      <w:pPr>
        <w:pStyle w:val="6"/>
        <w:snapToGrid w:val="0"/>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录取时如上线考生生源不足，可以在高起专最低控制分数线以下20分内从高分到低分录取。</w:t>
      </w:r>
    </w:p>
    <w:p>
      <w:pPr>
        <w:pStyle w:val="6"/>
        <w:snapToGrid w:val="0"/>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sz w:val="32"/>
          <w:szCs w:val="32"/>
        </w:rPr>
        <w:t>4.报考家政服务与管理、老年保健与管理、护理、老年护理、社会工作、康复治疗技术等家政服务类专业的考生，成绩达到录取最低控制分数线的，原则上均予以录取。如在分数线上生源不足时，可适当降分投档，医学护理类专科专业最低可降至同类分数线的70%，其他专业可降至同类分数线下20分。</w:t>
      </w:r>
    </w:p>
    <w:p>
      <w:pPr>
        <w:pStyle w:val="6"/>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（五）录取审核</w:t>
      </w:r>
    </w:p>
    <w:p>
      <w:pPr>
        <w:pStyle w:val="6"/>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招生院校在</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省录取的新生名单，由</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省教育考试院审批盖章，各院校按</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省教育考试院审批同意的本年度录取新生名单发放录取通知书。</w:t>
      </w:r>
    </w:p>
    <w:p>
      <w:pPr>
        <w:pStyle w:val="6"/>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浙江开放大学部分专业实行单独考试单独招生试点工作，</w:t>
      </w:r>
      <w:r>
        <w:rPr>
          <w:rFonts w:ascii="Times New Roman" w:hAnsi="Times New Roman" w:eastAsia="仿宋_GB2312" w:cs="Times New Roman"/>
          <w:sz w:val="32"/>
          <w:szCs w:val="32"/>
        </w:rPr>
        <w:t>已</w:t>
      </w:r>
      <w:r>
        <w:rPr>
          <w:rFonts w:hint="eastAsia" w:ascii="Times New Roman" w:hAnsi="Times New Roman" w:eastAsia="仿宋_GB2312" w:cs="Times New Roman"/>
          <w:sz w:val="32"/>
          <w:szCs w:val="32"/>
        </w:rPr>
        <w:t>被浙江开放大学单考单招录取的考生</w:t>
      </w:r>
      <w:r>
        <w:rPr>
          <w:rFonts w:ascii="Times New Roman" w:hAnsi="Times New Roman" w:eastAsia="仿宋_GB2312" w:cs="Times New Roman"/>
          <w:sz w:val="32"/>
          <w:szCs w:val="32"/>
        </w:rPr>
        <w:t>不再参</w:t>
      </w:r>
      <w:r>
        <w:rPr>
          <w:rFonts w:hint="eastAsia" w:ascii="Times New Roman" w:hAnsi="Times New Roman" w:eastAsia="仿宋_GB2312" w:cs="Times New Roman"/>
          <w:sz w:val="32"/>
          <w:szCs w:val="32"/>
        </w:rPr>
        <w:t>加</w:t>
      </w:r>
      <w:r>
        <w:rPr>
          <w:rFonts w:ascii="Times New Roman" w:hAnsi="Times New Roman" w:eastAsia="仿宋_GB2312" w:cs="Times New Roman"/>
          <w:sz w:val="32"/>
          <w:szCs w:val="32"/>
        </w:rPr>
        <w:t>其他类型成人高考录取。</w:t>
      </w:r>
    </w:p>
    <w:p>
      <w:pPr>
        <w:pStyle w:val="6"/>
        <w:snapToGrid w:val="0"/>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hint="eastAsia" w:ascii="黑体" w:hAnsi="黑体" w:eastAsia="黑体" w:cs="黑体"/>
          <w:sz w:val="32"/>
          <w:szCs w:val="32"/>
        </w:rPr>
        <w:t>七、</w:t>
      </w:r>
      <w:r>
        <w:rPr>
          <w:rFonts w:ascii="Times New Roman" w:hAnsi="Times New Roman" w:eastAsia="黑体" w:cs="Times New Roman"/>
          <w:sz w:val="32"/>
          <w:szCs w:val="32"/>
        </w:rPr>
        <w:t>信息公开公示</w:t>
      </w:r>
    </w:p>
    <w:p>
      <w:pPr>
        <w:pStyle w:val="6"/>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建立分级负责、规范有效的省、地、高校等多级高校招生信息公开制度。高校招生信息公开工作要做到信息采集准确、公开程序规范、内容发布及时。</w:t>
      </w:r>
    </w:p>
    <w:p>
      <w:pPr>
        <w:pStyle w:val="6"/>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各级教育行政部门、招生考试机构、有关高校应按照有关要求，分别公开招生政策、高校招生资格、高校招生章程、高校招生计划、考生资格、录取程序、录取结果、咨询及申诉渠道、重大违规事件及处理结果、录取新生复查结果等相关信息。公示的考生资格信息应包括姓名、性别、所在单位、享受照顾政策类别、资格条件、测试项目、测试成绩、合格标准、拟录高校及专业和录取优惠分值等。公示的信息自公示之日起保留半年。</w:t>
      </w:r>
    </w:p>
    <w:p>
      <w:pPr>
        <w:pStyle w:val="6"/>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各级教育行政部门、招生考试机构、有关高校要在公示有关信息的同时，提供举报电子信箱、电话号码、受理举报的单位和通信地址，并按照国家有关信访规定对举报事项及时调查处理。</w:t>
      </w:r>
    </w:p>
    <w:p>
      <w:pPr>
        <w:pStyle w:val="6"/>
        <w:adjustRightInd w:val="0"/>
        <w:snapToGrid w:val="0"/>
        <w:spacing w:before="0" w:beforeAutospacing="0" w:after="0" w:afterAutospacing="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八、新生复查</w:t>
      </w:r>
    </w:p>
    <w:p>
      <w:pPr>
        <w:pStyle w:val="6"/>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新生入学后，招生学校要对已报到的新生信息进行全面复查。对新生报到所需录取通知书、身份证、加分照顾和免试入学资格证明等材料与录取新生名册、电子档案逐一进行比对核查，并通过“人证识别”等技术</w:t>
      </w:r>
      <w:r>
        <w:rPr>
          <w:rFonts w:hint="eastAsia" w:ascii="Times New Roman" w:hAnsi="Times New Roman" w:eastAsia="仿宋_GB2312"/>
          <w:spacing w:val="-6"/>
          <w:sz w:val="32"/>
          <w:szCs w:val="32"/>
        </w:rPr>
        <w:t>手段</w:t>
      </w:r>
      <w:r>
        <w:rPr>
          <w:rFonts w:ascii="Times New Roman" w:hAnsi="Times New Roman" w:eastAsia="仿宋_GB2312" w:cs="Times New Roman"/>
          <w:sz w:val="32"/>
          <w:szCs w:val="32"/>
        </w:rPr>
        <w:t>严防冒名顶替。对其中不符合条件或弄虚作假、违纪舞弊者，应按照相关规定取消其入学资格，记入《考生考试诚信档案》；对不能通过学籍电子注册的专升本新生，必须对考生报名时的最后学历进行复核，不能提供经教育部审定核准的国民教育系列高等学校、高等教育自学考试机构颁发的相应层次及以上毕业证书者，由招生学校取消其入学资格，并于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年3月30日前报</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省教育考试院备案。</w:t>
      </w:r>
    </w:p>
    <w:p>
      <w:pPr>
        <w:pStyle w:val="6"/>
        <w:snapToGrid w:val="0"/>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、其他</w:t>
      </w:r>
    </w:p>
    <w:p>
      <w:pPr>
        <w:pStyle w:val="6"/>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sectPr>
          <w:pgSz w:w="11906" w:h="16838"/>
          <w:pgMar w:top="1440" w:right="1803" w:bottom="1440" w:left="1803" w:header="851" w:footer="992" w:gutter="0"/>
          <w:pgNumType w:fmt="numberInDash"/>
          <w:cols w:space="720" w:num="1"/>
          <w:docGrid w:type="lines" w:linePitch="312" w:charSpace="0"/>
        </w:sectPr>
      </w:pPr>
      <w:r>
        <w:rPr>
          <w:rFonts w:ascii="Times New Roman" w:hAnsi="Times New Roman" w:eastAsia="仿宋_GB2312" w:cs="Times New Roman"/>
          <w:sz w:val="32"/>
          <w:szCs w:val="32"/>
        </w:rPr>
        <w:t>对高校考试、招生工作过程中出现的违规行为，按照《</w:t>
      </w:r>
      <w:r>
        <w:rPr>
          <w:rFonts w:hint="eastAsia" w:ascii="Times New Roman" w:hAnsi="Times New Roman" w:eastAsia="仿宋_GB2312" w:cs="Times New Roman"/>
          <w:sz w:val="32"/>
          <w:szCs w:val="32"/>
        </w:rPr>
        <w:t>中华人民共和国</w:t>
      </w:r>
      <w:r>
        <w:rPr>
          <w:rFonts w:ascii="Times New Roman" w:hAnsi="Times New Roman" w:eastAsia="仿宋_GB2312" w:cs="Times New Roman"/>
          <w:sz w:val="32"/>
          <w:szCs w:val="32"/>
        </w:rPr>
        <w:t>教育法》以及《国家教育考试违规处理办法》（教育部令第33号），参照《普通高等学校招生违规处理暂行办法》（教育部令第36号）有关规定严肃处理，依法追究当事人及相关人员责任。凡存在组织作弊、买卖作弊设备、买卖考题、替考等作弊及帮助作弊行为，涉嫌犯罪的，移送司法机关，依照《中华人民共和国刑法（修正案九）》</w:t>
      </w:r>
    </w:p>
    <w:p>
      <w:pPr>
        <w:pStyle w:val="6"/>
        <w:snapToGrid w:val="0"/>
        <w:spacing w:before="0" w:beforeAutospacing="0" w:after="0" w:afterAutospacing="0" w:line="560" w:lineRule="exact"/>
        <w:ind w:firstLine="0" w:firstLineChars="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等追究法律责任。对公职人员违规违纪的，依据《中国共产党纪律处分条例》《行政机关公务员处分条例》《事业单位工作人员处分暂行规定》等相关规定严肃处理。对因教育行政部门、教育考试机构疏于管理，造成考场秩序混乱、作弊情况严重的，对直接责任人和负有领导责任的人员，依纪依规进行严肃追责问责；涉嫌犯罪的，移送司法机关追究法律责任。</w:t>
      </w:r>
    </w:p>
    <w:p>
      <w:pPr>
        <w:pStyle w:val="6"/>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本《实施</w:t>
      </w:r>
      <w:r>
        <w:rPr>
          <w:rFonts w:hint="eastAsia" w:ascii="Times New Roman" w:hAnsi="Times New Roman" w:eastAsia="仿宋_GB2312" w:cs="Times New Roman"/>
          <w:sz w:val="32"/>
          <w:szCs w:val="32"/>
        </w:rPr>
        <w:t>方案</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省教育考试院负责解释。</w:t>
      </w:r>
    </w:p>
    <w:p>
      <w:pPr>
        <w:pStyle w:val="6"/>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p>
    <w:p>
      <w:pPr>
        <w:pStyle w:val="6"/>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hint="eastAsia" w:ascii="Times New Roman" w:hAnsi="Times New Roman" w:eastAsia="仿宋_GB2312" w:cs="Times New Roman"/>
          <w:sz w:val="32"/>
          <w:szCs w:val="32"/>
        </w:rPr>
        <w:t>2023年全国成人高校招生工作安排</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shd w:val="clear" w:color="auto" w:fill="FFFFFF"/>
        </w:rPr>
        <w:t xml:space="preserve">      2.</w:t>
      </w:r>
      <w:r>
        <w:rPr>
          <w:rFonts w:ascii="Times New Roman" w:hAnsi="Times New Roman" w:eastAsia="仿宋_GB2312"/>
          <w:color w:val="000000"/>
          <w:sz w:val="32"/>
          <w:szCs w:val="32"/>
        </w:rPr>
        <w:t>专科起点升本科</w:t>
      </w:r>
      <w:r>
        <w:rPr>
          <w:rFonts w:hint="eastAsia" w:ascii="Times New Roman" w:hAnsi="Times New Roman" w:eastAsia="仿宋_GB2312"/>
          <w:color w:val="000000"/>
          <w:sz w:val="32"/>
          <w:szCs w:val="32"/>
        </w:rPr>
        <w:t>招生</w:t>
      </w:r>
      <w:r>
        <w:rPr>
          <w:rFonts w:ascii="Times New Roman" w:hAnsi="Times New Roman" w:eastAsia="仿宋_GB2312"/>
          <w:color w:val="000000"/>
          <w:sz w:val="32"/>
          <w:szCs w:val="32"/>
        </w:rPr>
        <w:t>专业</w:t>
      </w:r>
      <w:r>
        <w:rPr>
          <w:rFonts w:hint="eastAsia" w:ascii="Times New Roman" w:hAnsi="Times New Roman" w:eastAsia="仿宋_GB2312"/>
          <w:color w:val="000000"/>
          <w:sz w:val="32"/>
          <w:szCs w:val="32"/>
        </w:rPr>
        <w:t>与</w:t>
      </w:r>
      <w:r>
        <w:rPr>
          <w:rFonts w:ascii="Times New Roman" w:hAnsi="Times New Roman" w:eastAsia="仿宋_GB2312"/>
          <w:color w:val="000000"/>
          <w:sz w:val="32"/>
          <w:szCs w:val="32"/>
        </w:rPr>
        <w:t>统一考试科目</w:t>
      </w:r>
      <w:r>
        <w:rPr>
          <w:rFonts w:hint="eastAsia" w:ascii="Times New Roman" w:hAnsi="Times New Roman" w:eastAsia="仿宋_GB2312"/>
          <w:color w:val="000000"/>
          <w:sz w:val="32"/>
          <w:szCs w:val="32"/>
        </w:rPr>
        <w:t>对照</w:t>
      </w:r>
      <w:r>
        <w:rPr>
          <w:rFonts w:ascii="Times New Roman" w:hAnsi="Times New Roman" w:eastAsia="仿宋_GB2312"/>
          <w:color w:val="000000"/>
          <w:sz w:val="32"/>
          <w:szCs w:val="32"/>
        </w:rPr>
        <w:t>表</w:t>
      </w:r>
    </w:p>
    <w:p>
      <w:pPr>
        <w:spacing w:line="560" w:lineRule="exact"/>
        <w:rPr>
          <w:rFonts w:ascii="Times New Roman" w:hAnsi="Times New Roman" w:eastAsia="仿宋"/>
          <w:color w:val="000000"/>
          <w:sz w:val="32"/>
          <w:szCs w:val="32"/>
        </w:rPr>
        <w:sectPr>
          <w:pgSz w:w="11906" w:h="16838"/>
          <w:pgMar w:top="1440" w:right="1588" w:bottom="1440" w:left="1588" w:header="851" w:footer="992" w:gutter="0"/>
          <w:pgNumType w:fmt="numberInDash"/>
          <w:cols w:space="720" w:num="1"/>
          <w:docGrid w:type="linesAndChars" w:linePitch="312" w:charSpace="0"/>
        </w:sectPr>
      </w:pPr>
    </w:p>
    <w:p>
      <w:pPr>
        <w:spacing w:line="560" w:lineRule="exact"/>
        <w:jc w:val="left"/>
        <w:rPr>
          <w:rFonts w:ascii="Times New Roman" w:hAnsi="Times New Roman" w:eastAsia="黑体"/>
          <w:color w:val="000000"/>
          <w:sz w:val="32"/>
          <w:szCs w:val="32"/>
        </w:rPr>
      </w:pPr>
      <w:r>
        <w:rPr>
          <w:rFonts w:ascii="Times New Roman" w:hAnsi="Times New Roman" w:eastAsia="黑体"/>
          <w:color w:val="000000"/>
          <w:sz w:val="32"/>
          <w:szCs w:val="32"/>
        </w:rPr>
        <w:t>附件1</w:t>
      </w:r>
    </w:p>
    <w:p>
      <w:pPr>
        <w:spacing w:line="560" w:lineRule="exact"/>
        <w:jc w:val="center"/>
        <w:rPr>
          <w:rFonts w:hint="eastAsia" w:ascii="Times New Roman" w:hAnsi="Times New Roman" w:eastAsia="方正小标宋简体"/>
          <w:bCs/>
          <w:spacing w:val="-12"/>
          <w:sz w:val="36"/>
          <w:szCs w:val="36"/>
        </w:rPr>
      </w:pPr>
      <w:bookmarkStart w:id="0" w:name="_Hlk46997432"/>
      <w:r>
        <w:rPr>
          <w:rFonts w:ascii="Times New Roman" w:hAnsi="Times New Roman" w:eastAsia="方正小标宋简体"/>
          <w:bCs/>
          <w:spacing w:val="-12"/>
          <w:sz w:val="36"/>
          <w:szCs w:val="36"/>
        </w:rPr>
        <w:t>202</w:t>
      </w:r>
      <w:r>
        <w:rPr>
          <w:rFonts w:hint="eastAsia" w:ascii="Times New Roman" w:hAnsi="Times New Roman" w:eastAsia="方正小标宋简体"/>
          <w:bCs/>
          <w:spacing w:val="-12"/>
          <w:sz w:val="36"/>
          <w:szCs w:val="36"/>
        </w:rPr>
        <w:t>3</w:t>
      </w:r>
      <w:r>
        <w:rPr>
          <w:rFonts w:ascii="Times New Roman" w:hAnsi="Times New Roman" w:eastAsia="方正小标宋简体"/>
          <w:bCs/>
          <w:spacing w:val="-12"/>
          <w:sz w:val="36"/>
          <w:szCs w:val="36"/>
        </w:rPr>
        <w:t>年全国成人高校招生工作</w:t>
      </w:r>
      <w:r>
        <w:rPr>
          <w:rFonts w:hint="eastAsia" w:ascii="Times New Roman" w:hAnsi="Times New Roman" w:eastAsia="方正小标宋简体"/>
          <w:bCs/>
          <w:spacing w:val="-12"/>
          <w:sz w:val="36"/>
          <w:szCs w:val="36"/>
        </w:rPr>
        <w:t>安排</w:t>
      </w:r>
    </w:p>
    <w:p>
      <w:pPr>
        <w:spacing w:line="560" w:lineRule="exact"/>
        <w:jc w:val="center"/>
        <w:rPr>
          <w:rFonts w:ascii="Times New Roman" w:hAnsi="Times New Roman" w:eastAsia="方正小标宋简体"/>
          <w:bCs/>
          <w:color w:val="000000"/>
          <w:kern w:val="0"/>
          <w:sz w:val="36"/>
          <w:szCs w:val="36"/>
        </w:rPr>
      </w:pPr>
    </w:p>
    <w:bookmarkEnd w:id="0"/>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206" w:type="dxa"/>
            <w:tcBorders>
              <w:bottom w:val="single" w:color="auto" w:sz="4" w:space="0"/>
            </w:tcBorders>
            <w:noWrap w:val="0"/>
            <w:vAlign w:val="center"/>
          </w:tcPr>
          <w:p>
            <w:pPr>
              <w:pStyle w:val="4"/>
              <w:spacing w:line="560" w:lineRule="exact"/>
              <w:jc w:val="center"/>
              <w:rPr>
                <w:rFonts w:ascii="Times New Roman" w:hAnsi="Times New Roman" w:eastAsia="黑体"/>
                <w:bCs/>
                <w:color w:val="000000"/>
                <w:sz w:val="30"/>
                <w:szCs w:val="30"/>
              </w:rPr>
            </w:pPr>
            <w:r>
              <w:rPr>
                <w:rFonts w:ascii="Times New Roman" w:hAnsi="Times New Roman" w:eastAsia="黑体"/>
                <w:bCs/>
                <w:color w:val="000000"/>
                <w:sz w:val="30"/>
                <w:szCs w:val="30"/>
              </w:rPr>
              <w:t>时  间</w:t>
            </w:r>
          </w:p>
        </w:tc>
        <w:tc>
          <w:tcPr>
            <w:tcW w:w="6407" w:type="dxa"/>
            <w:tcBorders>
              <w:bottom w:val="single" w:color="auto" w:sz="4" w:space="0"/>
            </w:tcBorders>
            <w:noWrap w:val="0"/>
            <w:vAlign w:val="center"/>
          </w:tcPr>
          <w:p>
            <w:pPr>
              <w:pStyle w:val="4"/>
              <w:spacing w:line="560" w:lineRule="exact"/>
              <w:jc w:val="center"/>
              <w:rPr>
                <w:rFonts w:ascii="Times New Roman" w:hAnsi="Times New Roman" w:eastAsia="黑体"/>
                <w:bCs/>
                <w:color w:val="000000"/>
                <w:sz w:val="30"/>
                <w:szCs w:val="30"/>
              </w:rPr>
            </w:pPr>
            <w:r>
              <w:rPr>
                <w:rFonts w:ascii="Times New Roman" w:hAnsi="Times New Roman" w:eastAsia="黑体"/>
                <w:bCs/>
                <w:color w:val="000000"/>
                <w:sz w:val="30"/>
                <w:szCs w:val="30"/>
              </w:rPr>
              <w:t>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2206" w:type="dxa"/>
            <w:tcBorders>
              <w:bottom w:val="single" w:color="auto" w:sz="4" w:space="0"/>
            </w:tcBorders>
            <w:noWrap w:val="0"/>
            <w:vAlign w:val="center"/>
          </w:tcPr>
          <w:p>
            <w:pPr>
              <w:spacing w:line="56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202</w:t>
            </w: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年8、9月</w:t>
            </w:r>
          </w:p>
        </w:tc>
        <w:tc>
          <w:tcPr>
            <w:tcW w:w="6407" w:type="dxa"/>
            <w:noWrap w:val="0"/>
            <w:vAlign w:val="center"/>
          </w:tcPr>
          <w:p>
            <w:pPr>
              <w:spacing w:line="56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各地各部门组织所属高校编制招生专业目录，各地组织考生报名</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进行考生资格审核</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各地各部门确定所属高校招生规模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206" w:type="dxa"/>
            <w:noWrap w:val="0"/>
            <w:vAlign w:val="center"/>
          </w:tcPr>
          <w:p>
            <w:pPr>
              <w:pStyle w:val="4"/>
              <w:spacing w:line="56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202</w:t>
            </w: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年10</w:t>
            </w:r>
            <w:r>
              <w:rPr>
                <w:rFonts w:hint="eastAsia" w:ascii="Times New Roman" w:hAnsi="Times New Roman" w:eastAsia="仿宋_GB2312"/>
                <w:color w:val="000000"/>
                <w:sz w:val="30"/>
                <w:szCs w:val="30"/>
              </w:rPr>
              <w:t>月</w:t>
            </w:r>
          </w:p>
        </w:tc>
        <w:tc>
          <w:tcPr>
            <w:tcW w:w="6407" w:type="dxa"/>
            <w:noWrap w:val="0"/>
            <w:vAlign w:val="center"/>
          </w:tcPr>
          <w:p>
            <w:pPr>
              <w:spacing w:line="56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各地组织成人高校招生统一考试</w:t>
            </w:r>
          </w:p>
          <w:p>
            <w:pPr>
              <w:spacing w:line="56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各高校安排分专业招生计划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206" w:type="dxa"/>
            <w:noWrap w:val="0"/>
            <w:vAlign w:val="center"/>
          </w:tcPr>
          <w:p>
            <w:pPr>
              <w:pStyle w:val="4"/>
              <w:spacing w:line="56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202</w:t>
            </w: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年11月</w:t>
            </w:r>
          </w:p>
        </w:tc>
        <w:tc>
          <w:tcPr>
            <w:tcW w:w="6407" w:type="dxa"/>
            <w:noWrap w:val="0"/>
            <w:vAlign w:val="center"/>
          </w:tcPr>
          <w:p>
            <w:pPr>
              <w:spacing w:line="56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各地组织阅卷、划定高校最低录取控制分数线，组织考生确认志愿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206" w:type="dxa"/>
            <w:noWrap w:val="0"/>
            <w:vAlign w:val="center"/>
          </w:tcPr>
          <w:p>
            <w:pPr>
              <w:pStyle w:val="4"/>
              <w:spacing w:line="56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202</w:t>
            </w: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年12月</w:t>
            </w:r>
          </w:p>
        </w:tc>
        <w:tc>
          <w:tcPr>
            <w:tcW w:w="6407" w:type="dxa"/>
            <w:noWrap w:val="0"/>
            <w:vAlign w:val="center"/>
          </w:tcPr>
          <w:p>
            <w:pPr>
              <w:spacing w:line="56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各地组织实施成人高校招生录取工作</w:t>
            </w:r>
          </w:p>
        </w:tc>
      </w:tr>
    </w:tbl>
    <w:p>
      <w:pPr>
        <w:pStyle w:val="4"/>
        <w:spacing w:line="560" w:lineRule="exact"/>
        <w:rPr>
          <w:rFonts w:ascii="Times New Roman" w:hAnsi="Times New Roman" w:eastAsia="仿宋"/>
          <w:b/>
          <w:bCs/>
          <w:sz w:val="32"/>
          <w:szCs w:val="32"/>
        </w:rPr>
      </w:pPr>
    </w:p>
    <w:p>
      <w:pPr>
        <w:spacing w:line="560" w:lineRule="exact"/>
        <w:rPr>
          <w:rFonts w:ascii="Times New Roman" w:hAnsi="Times New Roman" w:eastAsia="黑体"/>
          <w:sz w:val="32"/>
          <w:szCs w:val="32"/>
        </w:rPr>
      </w:pPr>
      <w:r>
        <w:rPr>
          <w:rFonts w:ascii="Times New Roman" w:hAnsi="Times New Roman" w:eastAsia="仿宋"/>
          <w:sz w:val="32"/>
          <w:szCs w:val="32"/>
        </w:rPr>
        <w:t xml:space="preserve">    </w:t>
      </w:r>
      <w:r>
        <w:rPr>
          <w:rFonts w:ascii="Times New Roman" w:hAnsi="Times New Roman" w:eastAsia="黑体"/>
          <w:sz w:val="32"/>
          <w:szCs w:val="32"/>
        </w:rPr>
        <w:br w:type="page"/>
      </w:r>
      <w:r>
        <w:rPr>
          <w:rFonts w:ascii="Times New Roman" w:hAnsi="Times New Roman" w:eastAsia="黑体"/>
          <w:sz w:val="32"/>
          <w:szCs w:val="32"/>
        </w:rPr>
        <w:t>附件2</w:t>
      </w:r>
    </w:p>
    <w:p>
      <w:pPr>
        <w:spacing w:line="560" w:lineRule="exact"/>
        <w:jc w:val="center"/>
        <w:rPr>
          <w:rFonts w:ascii="Times New Roman" w:hAnsi="Times New Roman" w:eastAsia="方正小标宋简体"/>
          <w:sz w:val="36"/>
          <w:szCs w:val="36"/>
        </w:rPr>
      </w:pPr>
      <w:r>
        <w:rPr>
          <w:rFonts w:ascii="Times New Roman" w:hAnsi="Times New Roman" w:eastAsia="方正小标宋简体"/>
          <w:sz w:val="36"/>
          <w:szCs w:val="36"/>
        </w:rPr>
        <w:t>专科起点升本科招生专业与统一考试科目对照表</w:t>
      </w:r>
    </w:p>
    <w:p>
      <w:pPr>
        <w:spacing w:line="560" w:lineRule="exact"/>
        <w:rPr>
          <w:rFonts w:ascii="Times New Roman" w:hAnsi="Times New Roman" w:eastAsia="仿宋_GB2312"/>
          <w:b/>
          <w:bCs/>
          <w:sz w:val="32"/>
          <w:szCs w:val="32"/>
        </w:rPr>
      </w:pPr>
      <w:r>
        <w:rPr>
          <w:rFonts w:ascii="Times New Roman" w:hAnsi="Times New Roman" w:eastAsia="仿宋_GB2312"/>
          <w:sz w:val="24"/>
          <w:szCs w:val="24"/>
        </w:rPr>
        <w:t>一、哲学、文学、历史学以及中医学类、中药学类</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8"/>
        <w:gridCol w:w="1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08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招    生    专    业</w:t>
            </w:r>
          </w:p>
        </w:tc>
        <w:tc>
          <w:tcPr>
            <w:tcW w:w="1312" w:type="dxa"/>
            <w:tcBorders>
              <w:top w:val="single" w:color="auto" w:sz="4" w:space="0"/>
              <w:left w:val="nil"/>
              <w:bottom w:val="single" w:color="auto" w:sz="4" w:space="0"/>
              <w:right w:val="single" w:color="auto" w:sz="4" w:space="0"/>
            </w:tcBorders>
            <w:noWrap w:val="0"/>
            <w:vAlign w:val="top"/>
          </w:tcPr>
          <w:p>
            <w:pPr>
              <w:spacing w:line="560" w:lineRule="exact"/>
              <w:rPr>
                <w:rFonts w:ascii="Times New Roman" w:hAnsi="Times New Roman" w:eastAsia="仿宋_GB2312"/>
                <w:sz w:val="24"/>
                <w:szCs w:val="24"/>
              </w:rPr>
            </w:pPr>
            <w:r>
              <w:rPr>
                <w:rFonts w:ascii="Times New Roman" w:hAnsi="Times New Roman" w:eastAsia="仿宋_GB2312"/>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88" w:type="dxa"/>
            <w:tcBorders>
              <w:top w:val="single" w:color="auto" w:sz="4" w:space="0"/>
              <w:left w:val="single" w:color="auto" w:sz="4" w:space="0"/>
              <w:bottom w:val="single" w:color="auto" w:sz="4" w:space="0"/>
              <w:right w:val="single" w:color="auto" w:sz="4" w:space="0"/>
            </w:tcBorders>
            <w:noWrap w:val="0"/>
            <w:vAlign w:val="top"/>
          </w:tcPr>
          <w:tbl>
            <w:tblPr>
              <w:tblStyle w:val="7"/>
              <w:tblW w:w="0" w:type="auto"/>
              <w:tblInd w:w="108" w:type="dxa"/>
              <w:tblLayout w:type="fixed"/>
              <w:tblCellMar>
                <w:top w:w="0" w:type="dxa"/>
                <w:left w:w="108" w:type="dxa"/>
                <w:bottom w:w="0" w:type="dxa"/>
                <w:right w:w="108" w:type="dxa"/>
              </w:tblCellMar>
            </w:tblPr>
            <w:tblGrid>
              <w:gridCol w:w="936"/>
              <w:gridCol w:w="2642"/>
              <w:gridCol w:w="977"/>
              <w:gridCol w:w="2213"/>
            </w:tblGrid>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rPr>
                    <w:t>010101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哲学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010102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逻辑学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010103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宗教学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010104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伦理学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030401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民族学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050101</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汉语言文学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050102</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汉语言</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050103</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汉语国际教育</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050104</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中国少数民族语言文学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050105</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古典文献学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050106</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应用语言学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050107</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秘书学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050108</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中国语言与文化</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050109</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手语翻译</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英语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俄语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德语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法语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西班牙语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阿拉伯语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日语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050208</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波斯语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050209</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朝鲜语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050210</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菲律宾语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梵语巴利语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印度尼西亚语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印地语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柬埔寨语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老挝语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缅甸语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马来语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050218</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蒙古语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050219</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僧伽罗语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050220</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泰语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乌尔都语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希伯来语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越南语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豪萨语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斯瓦希里语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阿尔巴尼亚语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保加利亚语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050228</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波兰语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050229</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捷克语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050230</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斯洛伐克语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罗马尼亚语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葡萄牙语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瑞典语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塞尔维亚语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土耳其语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希腊语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匈牙利语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050238</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意大利语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050239</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泰米尔语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050240</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普什图语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世界语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孟加拉语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尼泊尔语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克罗地亚语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荷兰语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芬兰语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乌克兰语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050248</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挪威语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050249</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丹麦语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050250</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冰岛语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爱尔兰语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拉脱维亚语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立陶宛语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斯洛文尼亚语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爱沙尼亚语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马耳他语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哈萨克语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050258</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乌兹别克语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050259</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祖鲁语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050260</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拉丁语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翻译</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商务英语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阿姆哈拉语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吉尔吉斯语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索马里语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土库曼语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加泰罗尼亚语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050268</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约鲁巴语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050269</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亚美尼亚语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050270</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马达加斯加语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格鲁吉亚语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阿塞拜疆语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阿非利卡语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马其顿语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塔吉克语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茨瓦纳语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恩德贝莱语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050278</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科摩罗语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050279</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克里奥尔语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050280</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绍纳语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050281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提格雷尼亚语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050282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白俄罗斯语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050283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毛利语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050284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汤加语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050285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萨摩亚语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050286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库尔德语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050301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新闻学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050302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广播电视学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050303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广告学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050304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传播学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050305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编辑出版学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060101</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历史学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060102</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世界史</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060103</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考古学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060104</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文物与博物馆学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060105</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文物保护技术</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060106</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外国语言与外国历史</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060107</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文化遗产</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中医学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针灸推拿学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藏医学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蒙医学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维医学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壮医学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哈医学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100801</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中药学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100803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藏药学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100804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蒙药学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100805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中药制药</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100806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中草药栽培与鉴定</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350101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维吾尔语言文学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350102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哈萨克语言文学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350103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蒙古语言文学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350104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朝鲜语言文学</w:t>
                  </w:r>
                </w:p>
              </w:tc>
            </w:tr>
            <w:tr>
              <w:tblPrEx>
                <w:tblCellMar>
                  <w:top w:w="0" w:type="dxa"/>
                  <w:left w:w="108" w:type="dxa"/>
                  <w:bottom w:w="0" w:type="dxa"/>
                  <w:right w:w="108" w:type="dxa"/>
                </w:tblCellMar>
              </w:tblPrEx>
              <w:trPr>
                <w:gridAfter w:val="2"/>
                <w:wAfter w:w="3190" w:type="dxa"/>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350105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藏语言文学</w:t>
                  </w:r>
                </w:p>
              </w:tc>
            </w:tr>
          </w:tbl>
          <w:p>
            <w:pPr>
              <w:spacing w:line="560" w:lineRule="exact"/>
              <w:jc w:val="center"/>
              <w:rPr>
                <w:rFonts w:ascii="Times New Roman" w:hAnsi="Times New Roman" w:eastAsia="仿宋_GB2312"/>
                <w:sz w:val="24"/>
                <w:szCs w:val="24"/>
              </w:rPr>
            </w:pPr>
          </w:p>
        </w:tc>
        <w:tc>
          <w:tcPr>
            <w:tcW w:w="1312" w:type="dxa"/>
            <w:tcBorders>
              <w:top w:val="single" w:color="auto" w:sz="4" w:space="0"/>
              <w:left w:val="nil"/>
              <w:bottom w:val="single" w:color="auto" w:sz="4" w:space="0"/>
              <w:right w:val="single" w:color="auto" w:sz="4" w:space="0"/>
            </w:tcBorders>
            <w:noWrap w:val="0"/>
            <w:vAlign w:val="top"/>
          </w:tcPr>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大学语文</w:t>
            </w: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大学语文</w:t>
            </w: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大学语文</w:t>
            </w:r>
          </w:p>
          <w:p>
            <w:pPr>
              <w:spacing w:line="560" w:lineRule="exact"/>
              <w:rPr>
                <w:rFonts w:ascii="Times New Roman" w:hAnsi="Times New Roman" w:eastAsia="仿宋_GB2312"/>
                <w:sz w:val="24"/>
                <w:szCs w:val="24"/>
              </w:rPr>
            </w:pPr>
          </w:p>
        </w:tc>
      </w:tr>
    </w:tbl>
    <w:p>
      <w:pPr>
        <w:spacing w:line="560" w:lineRule="exact"/>
        <w:rPr>
          <w:rFonts w:hint="eastAsia" w:ascii="Times New Roman" w:hAnsi="Times New Roman" w:eastAsia="仿宋_GB2312"/>
          <w:sz w:val="24"/>
          <w:szCs w:val="24"/>
        </w:rPr>
      </w:pPr>
      <w:r>
        <w:rPr>
          <w:rFonts w:ascii="Times New Roman" w:hAnsi="Times New Roman" w:eastAsia="仿宋_GB2312"/>
          <w:sz w:val="24"/>
          <w:szCs w:val="24"/>
        </w:rPr>
        <w:t xml:space="preserve"> </w:t>
      </w:r>
    </w:p>
    <w:p>
      <w:pPr>
        <w:pStyle w:val="2"/>
        <w:spacing w:line="560" w:lineRule="exact"/>
        <w:rPr>
          <w:rFonts w:hint="eastAsia"/>
        </w:rPr>
      </w:pPr>
    </w:p>
    <w:p>
      <w:pPr>
        <w:spacing w:line="240" w:lineRule="auto"/>
        <w:rPr>
          <w:rFonts w:hint="eastAsia"/>
        </w:rPr>
      </w:pPr>
    </w:p>
    <w:p>
      <w:pPr>
        <w:pStyle w:val="2"/>
        <w:spacing w:line="560" w:lineRule="exact"/>
        <w:rPr>
          <w:rFonts w:ascii="Cambria" w:hAnsi="Cambria" w:eastAsia="宋体"/>
          <w:sz w:val="24"/>
          <w:szCs w:val="24"/>
        </w:rPr>
      </w:pPr>
    </w:p>
    <w:p>
      <w:pPr>
        <w:spacing w:line="560" w:lineRule="exact"/>
        <w:rPr>
          <w:rFonts w:ascii="Times New Roman" w:hAnsi="Times New Roman" w:eastAsia="仿宋_GB2312"/>
          <w:sz w:val="24"/>
          <w:szCs w:val="24"/>
        </w:rPr>
      </w:pPr>
      <w:r>
        <w:rPr>
          <w:rFonts w:ascii="Times New Roman" w:hAnsi="Times New Roman" w:eastAsia="仿宋_GB2312"/>
          <w:sz w:val="24"/>
          <w:szCs w:val="24"/>
        </w:rPr>
        <w:t>二、艺术类</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46"/>
        <w:gridCol w:w="14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4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招    生    专    业</w:t>
            </w:r>
          </w:p>
        </w:tc>
        <w:tc>
          <w:tcPr>
            <w:tcW w:w="1454"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6" w:type="dxa"/>
            <w:tcBorders>
              <w:top w:val="single" w:color="auto" w:sz="4" w:space="0"/>
              <w:left w:val="single" w:color="auto" w:sz="4" w:space="0"/>
              <w:bottom w:val="single" w:color="auto" w:sz="4" w:space="0"/>
              <w:right w:val="single" w:color="auto" w:sz="4" w:space="0"/>
            </w:tcBorders>
            <w:noWrap w:val="0"/>
            <w:vAlign w:val="top"/>
          </w:tcPr>
          <w:tbl>
            <w:tblPr>
              <w:tblStyle w:val="7"/>
              <w:tblW w:w="0" w:type="auto"/>
              <w:tblInd w:w="108" w:type="dxa"/>
              <w:tblLayout w:type="fixed"/>
              <w:tblCellMar>
                <w:top w:w="0" w:type="dxa"/>
                <w:left w:w="108" w:type="dxa"/>
                <w:bottom w:w="0" w:type="dxa"/>
                <w:right w:w="108" w:type="dxa"/>
              </w:tblCellMar>
            </w:tblPr>
            <w:tblGrid>
              <w:gridCol w:w="900"/>
              <w:gridCol w:w="2320"/>
              <w:gridCol w:w="900"/>
              <w:gridCol w:w="1820"/>
            </w:tblGrid>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rPr>
                    <w:t>050306</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网络与新媒体</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050307</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数字出版</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130101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艺术史论</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130102</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艺术管理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130201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音乐表演</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130202</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音乐学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130203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作曲与作曲技术理论</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130204</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舞蹈表演</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130205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舞蹈学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130206</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舞蹈编导</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130301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表演</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130302</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戏剧学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130303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电影学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130304</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戏剧影视文学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130305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广播电视编导</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130306</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戏剧影视导演</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130307</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戏剧影视美术设计</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130308</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录音艺术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130309</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播音与主持艺术</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130310</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动画</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130311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影视摄影与制作</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130401</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美术学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130402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绘画</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130403</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雕塑</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130404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摄影</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130405</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书法学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130406</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中国画</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130407</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实验艺术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130408</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跨媒体艺术</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130409</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文物保护与修复</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130410</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漫画</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130501</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艺术设计学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130502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视觉传达设计</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130503</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环境设计</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130504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产品设计</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130505</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服装与服饰设计</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130506</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公共艺术</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130507</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工艺美术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130508</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数字媒体艺术</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130509</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艺术与科技</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130510</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陶瓷艺术设计</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130511</w:t>
                  </w:r>
                </w:p>
              </w:tc>
              <w:tc>
                <w:tcPr>
                  <w:tcW w:w="18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新媒体艺术</w:t>
                  </w:r>
                </w:p>
              </w:tc>
            </w:tr>
            <w:tr>
              <w:tblPrEx>
                <w:tblCellMar>
                  <w:top w:w="0" w:type="dxa"/>
                  <w:left w:w="108" w:type="dxa"/>
                  <w:bottom w:w="0" w:type="dxa"/>
                  <w:right w:w="108" w:type="dxa"/>
                </w:tblCellMar>
              </w:tblPrEx>
              <w:trPr>
                <w:gridAfter w:val="2"/>
                <w:wAfter w:w="2720" w:type="dxa"/>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130512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包装设计</w:t>
                  </w:r>
                </w:p>
              </w:tc>
            </w:tr>
          </w:tbl>
          <w:p>
            <w:pPr>
              <w:spacing w:line="560" w:lineRule="exact"/>
              <w:rPr>
                <w:rFonts w:ascii="Times New Roman" w:hAnsi="Times New Roman" w:eastAsia="仿宋_GB2312"/>
                <w:sz w:val="24"/>
                <w:szCs w:val="24"/>
              </w:rPr>
            </w:pPr>
          </w:p>
        </w:tc>
        <w:tc>
          <w:tcPr>
            <w:tcW w:w="1454" w:type="dxa"/>
            <w:tcBorders>
              <w:top w:val="single" w:color="auto" w:sz="4" w:space="0"/>
              <w:left w:val="nil"/>
              <w:bottom w:val="single" w:color="auto" w:sz="4" w:space="0"/>
              <w:right w:val="single" w:color="auto" w:sz="4" w:space="0"/>
            </w:tcBorders>
            <w:noWrap w:val="0"/>
            <w:vAlign w:val="top"/>
          </w:tcPr>
          <w:p>
            <w:pPr>
              <w:widowControl/>
              <w:spacing w:line="560" w:lineRule="exact"/>
              <w:rPr>
                <w:rFonts w:ascii="Times New Roman" w:hAnsi="Times New Roman" w:eastAsia="仿宋_GB2312"/>
                <w:sz w:val="24"/>
                <w:szCs w:val="24"/>
              </w:rPr>
            </w:pPr>
          </w:p>
          <w:p>
            <w:pPr>
              <w:widowControl/>
              <w:spacing w:line="560" w:lineRule="exact"/>
              <w:rPr>
                <w:rFonts w:hint="eastAsia" w:ascii="Times New Roman" w:hAnsi="Times New Roman" w:eastAsia="仿宋_GB2312"/>
                <w:sz w:val="24"/>
                <w:szCs w:val="24"/>
              </w:rPr>
            </w:pPr>
          </w:p>
          <w:p>
            <w:pPr>
              <w:pStyle w:val="2"/>
              <w:widowControl/>
              <w:spacing w:line="560" w:lineRule="exact"/>
              <w:rPr>
                <w:rFonts w:hint="eastAsia"/>
              </w:rPr>
            </w:pPr>
          </w:p>
          <w:p>
            <w:pPr>
              <w:widowControl w:val="0"/>
              <w:spacing w:line="240" w:lineRule="auto"/>
              <w:rPr>
                <w:rFonts w:ascii="Calibri" w:hAnsi="Calibri" w:eastAsia="宋体"/>
                <w:sz w:val="21"/>
                <w:szCs w:val="22"/>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艺术概论</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
          <w:p>
            <w:pPr>
              <w:spacing w:line="560" w:lineRule="exact"/>
              <w:jc w:val="center"/>
              <w:rPr>
                <w:rFonts w:ascii="Times New Roman" w:hAnsi="Times New Roman" w:eastAsia="仿宋_GB2312"/>
                <w:sz w:val="24"/>
                <w:szCs w:val="24"/>
              </w:rPr>
            </w:pPr>
          </w:p>
        </w:tc>
      </w:tr>
    </w:tbl>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r>
        <w:rPr>
          <w:rFonts w:ascii="Times New Roman" w:hAnsi="Times New Roman" w:eastAsia="仿宋_GB2312"/>
          <w:sz w:val="24"/>
          <w:szCs w:val="24"/>
        </w:rPr>
        <w:t>三、工学、理学（生物科学类、地理科学类、心理学类等除外）</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23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招    生    专    业</w:t>
            </w:r>
          </w:p>
        </w:tc>
        <w:tc>
          <w:tcPr>
            <w:tcW w:w="1239"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统考科目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30" w:type="dxa"/>
            <w:tcBorders>
              <w:top w:val="single" w:color="auto" w:sz="4" w:space="0"/>
              <w:left w:val="single" w:color="auto" w:sz="4" w:space="0"/>
              <w:bottom w:val="single" w:color="auto" w:sz="4" w:space="0"/>
              <w:right w:val="single" w:color="auto" w:sz="4" w:space="0"/>
            </w:tcBorders>
            <w:noWrap w:val="0"/>
            <w:vAlign w:val="top"/>
          </w:tcPr>
          <w:tbl>
            <w:tblPr>
              <w:tblStyle w:val="7"/>
              <w:tblW w:w="0" w:type="auto"/>
              <w:tblInd w:w="108" w:type="dxa"/>
              <w:tblLayout w:type="fixed"/>
              <w:tblCellMar>
                <w:top w:w="0" w:type="dxa"/>
                <w:left w:w="108" w:type="dxa"/>
                <w:bottom w:w="0" w:type="dxa"/>
                <w:right w:w="108" w:type="dxa"/>
              </w:tblCellMar>
            </w:tblPr>
            <w:tblGrid>
              <w:gridCol w:w="900"/>
              <w:gridCol w:w="2536"/>
              <w:gridCol w:w="984"/>
              <w:gridCol w:w="2702"/>
              <w:gridCol w:w="62"/>
            </w:tblGrid>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rPr>
                    <w:t>070101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数学与应用数学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070102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信息与计算科学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070103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数理基础科学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070201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物理学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070202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应用物理学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070203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核物理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070204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声学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070301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化学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070302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应用化学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070303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化学生物学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070304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分子科学与工程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070305</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能源化学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070401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天文学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070601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大气科学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070602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应用气象学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070701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海洋科学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070702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海洋技术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070703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海洋资源与环境</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070704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军事海洋学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070801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地球物理学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070802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空间科学与技术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070901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地质学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070902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地球化学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070904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古生物学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071005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整合科学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071006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神经科学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080101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理论与应用力学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080102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工程力学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机械工程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机械设计制造及其自动化</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材料成型及控制工程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机械电子工程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工业设计</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过程装备与控制工程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080207</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车辆工程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080208</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汽车服务工程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080210</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微机电系统工程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080301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测控技术与仪器</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材料科学与工程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材料物理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材料化学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冶金工程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金属材料工程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无机非金属材料工程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080407</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高分子材料与工程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080408</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复合材料与工程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080409</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粉体材料科学与工程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080410</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宝石及材料工艺学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080411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焊接技术与工程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080412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功能材料</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080413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纳米材料与技术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080414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新能源材料与器件</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080415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材料设计科学与工程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080501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能源与动力工程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080502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能源与环境系统工程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080503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新能源科学与工程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080601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电气工程及其自动化</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080602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智能电网信息工程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080603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光源与照明</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080604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电气工程与智能控制</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080605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电机电器智能化</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080606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电缆工程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电子信息工程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电子科学与技术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通信工程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微电子科学与工程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光电信息科学与工程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信息工程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080707</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广播电视工程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080708</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水声工程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080709</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电子封装技术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080710</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集成电路设计与集成系统</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080711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医学信息工程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080712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电磁场与无线技术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080713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电波传播与天线</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080714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电子信息科学与技术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080715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电信工程及管理</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080716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应用电子技术教育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080801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自动化</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080802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轨道交通信号与控制</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080803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机器人工程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080804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邮政工程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计算机科学与技术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软件工程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网络工程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信息安全</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物联网工程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数字媒体技术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080907</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智能科学与技术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080908</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空间信息与数字技术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080909</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电子与计算机工程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080910</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数据科学与大数据技术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080911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网络空间安全</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080912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新媒体技术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080913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电影制作</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081001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土木工程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081002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建筑环境与能源应用工程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081003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给排水科学与工程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081004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建筑电气与智能化</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081005</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城市地下空间工程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081006</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道路桥梁与渡河工程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081007</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铁道工程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081101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水利水电工程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081102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水文与水资源工程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081103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港口航道与海岸工程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081104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水务工程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081105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水利科学与工程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081201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测绘工程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081202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遥感科学与技术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081203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导航工程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081204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地理国情监测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081205</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地理空间信息工程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081301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化学工程与工艺</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081302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制药工程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081303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资源循环科学与工程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081304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能源化学工程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081305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化学工程与工业生物工程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081401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地质工程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081402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勘查技术与工程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081403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资源勘查工程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081404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地下水科学与工程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081501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采矿工程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081502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石油工程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081503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矿物加工工程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081504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油气储运工程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081505</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矿物资源工程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081506</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海洋油气工程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081601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纺织工程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081602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服装设计与工程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081603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非织造材料与工程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081604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服装设计与工艺教育</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081605</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丝绸设计与工程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081701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轻化工程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081702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包装工程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081703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印刷工程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081704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香料香精技术与工程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081801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交通运输</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081802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交通工程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081803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航海技术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081804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轮机工程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081805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飞行技术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081806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交通设备与控制工程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081807</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救助与打捞工程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081808</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船舶电子电气工程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081901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船舶与海洋工程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081902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海洋工程与技术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081903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海洋资源开发技术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082001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航空航天工程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082002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飞行器设计与工程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082003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飞行器制造工程</w:t>
                  </w:r>
                </w:p>
              </w:tc>
            </w:tr>
            <w:tr>
              <w:tblPrEx>
                <w:tblCellMar>
                  <w:top w:w="0" w:type="dxa"/>
                  <w:left w:w="108" w:type="dxa"/>
                  <w:bottom w:w="0" w:type="dxa"/>
                  <w:right w:w="108" w:type="dxa"/>
                </w:tblCellMar>
              </w:tblPrEx>
              <w:trPr>
                <w:gridAfter w:val="1"/>
                <w:wAfter w:w="62" w:type="dxa"/>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082004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飞行器动力工程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082005</w:t>
                  </w:r>
                </w:p>
              </w:tc>
              <w:tc>
                <w:tcPr>
                  <w:tcW w:w="270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飞行器环境与生命保障工程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szCs w:val="21"/>
                    </w:rPr>
                  </w:pPr>
                  <w:r>
                    <w:rPr>
                      <w:rFonts w:ascii="Times New Roman" w:hAnsi="Times New Roman" w:eastAsia="仿宋_GB2312"/>
                      <w:color w:val="000000"/>
                    </w:rPr>
                    <w:t>082006</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飞行器质量与可靠性</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082007</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飞行器适航技术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082008</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飞行器控制与信息工程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082009</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无人驾驶航空器系统工程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082101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武器系统与工程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082102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武器发射工程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082103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探测制导与控制技术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082104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弹药工程与爆炸技术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082105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特种能源技术与工程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082106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装甲车辆工程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082107</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信息对抗技术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082201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核工程与核技术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082202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辐射防护与核安全</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082203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工程物理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082204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核化工与核燃料工程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082301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农业工程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082302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农业机械化及其自动化</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082303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农业电气化</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082304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农业建筑环境与能源工程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082305</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农业水利工程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082306</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土地整治工程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082401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森林工程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082402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木材科学与工程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082403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林产化工</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082501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环境科学与工程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082502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环境工程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082505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环保设备工程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082507</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水质科学与技术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082601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生物医学工程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082602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假肢矫形工程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082603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临床工程技术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食品科学与工程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食品质量与安全</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粮食工程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乳品工程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082705</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酿酒工程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082706</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葡萄与葡萄酒工程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082709</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食品安全与检测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082801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建筑学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082802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城乡规划</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082803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风景园林</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082804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历史建筑保护工程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082901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安全工程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083001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生物工程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083002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生物制药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刑事科学技术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消防工程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交通管理工程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安全防范工程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083105</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公安视听技术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083106</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抢险救援指挥与技术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083108</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网络安全与执法</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083109</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核生化消防</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083110</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海警舰艇指挥与技术</w:t>
                  </w:r>
                </w:p>
              </w:tc>
            </w:tr>
            <w:tr>
              <w:tblPrEx>
                <w:tblCellMar>
                  <w:top w:w="0" w:type="dxa"/>
                  <w:left w:w="108" w:type="dxa"/>
                  <w:bottom w:w="0" w:type="dxa"/>
                  <w:right w:w="108" w:type="dxa"/>
                </w:tblCellMar>
              </w:tblPrEx>
              <w:trPr>
                <w:gridAfter w:val="3"/>
                <w:wAfter w:w="3748" w:type="dxa"/>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120106</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保密管理</w:t>
                  </w:r>
                </w:p>
              </w:tc>
            </w:tr>
          </w:tbl>
          <w:p>
            <w:pPr>
              <w:spacing w:line="560" w:lineRule="exact"/>
              <w:rPr>
                <w:rFonts w:ascii="Times New Roman" w:hAnsi="Times New Roman" w:eastAsia="仿宋_GB2312"/>
                <w:szCs w:val="21"/>
              </w:rPr>
            </w:pPr>
          </w:p>
        </w:tc>
        <w:tc>
          <w:tcPr>
            <w:tcW w:w="1239"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pStyle w:val="2"/>
              <w:spacing w:line="560" w:lineRule="exact"/>
              <w:jc w:val="center"/>
              <w:rPr>
                <w:rFonts w:hint="eastAsia"/>
              </w:rPr>
            </w:pPr>
          </w:p>
          <w:p>
            <w:pPr>
              <w:spacing w:line="240" w:lineRule="auto"/>
              <w:jc w:val="both"/>
              <w:rPr>
                <w:rFonts w:ascii="Calibri" w:hAnsi="Calibri" w:eastAsia="宋体"/>
                <w:sz w:val="21"/>
                <w:szCs w:val="22"/>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r>
              <w:rPr>
                <w:rFonts w:ascii="Times New Roman" w:hAnsi="Times New Roman" w:eastAsia="仿宋_GB2312"/>
                <w:sz w:val="24"/>
                <w:szCs w:val="24"/>
              </w:rPr>
              <w:t>高数（一）</w:t>
            </w: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hint="eastAsia" w:ascii="Times New Roman" w:hAnsi="Times New Roman" w:eastAsia="仿宋_GB2312"/>
                <w:sz w:val="24"/>
                <w:szCs w:val="24"/>
              </w:rPr>
            </w:pPr>
          </w:p>
          <w:p>
            <w:pPr>
              <w:pStyle w:val="2"/>
              <w:widowControl/>
              <w:spacing w:line="560" w:lineRule="exact"/>
              <w:rPr>
                <w:rFonts w:ascii="Cambria" w:hAnsi="Cambria" w:eastAsia="宋体"/>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r>
              <w:rPr>
                <w:rFonts w:ascii="Times New Roman" w:hAnsi="Times New Roman" w:eastAsia="仿宋_GB2312"/>
                <w:sz w:val="24"/>
                <w:szCs w:val="24"/>
              </w:rPr>
              <w:t>高数（一）</w:t>
            </w: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r>
              <w:rPr>
                <w:rFonts w:ascii="Times New Roman" w:hAnsi="Times New Roman" w:eastAsia="仿宋_GB2312"/>
                <w:sz w:val="24"/>
                <w:szCs w:val="24"/>
              </w:rPr>
              <w:t>高数（一）</w:t>
            </w: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
          <w:p>
            <w:pPr>
              <w:widowControl/>
              <w:spacing w:line="560" w:lineRule="exact"/>
              <w:rPr>
                <w:rFonts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r>
              <w:rPr>
                <w:rFonts w:ascii="Times New Roman" w:hAnsi="Times New Roman" w:eastAsia="仿宋_GB2312"/>
                <w:sz w:val="24"/>
                <w:szCs w:val="24"/>
              </w:rPr>
              <w:t>高数（一）</w:t>
            </w: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
          <w:p/>
          <w:p/>
          <w:p/>
          <w:p/>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
          <w:p/>
          <w:p/>
          <w:p/>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hint="eastAsia" w:ascii="Times New Roman" w:hAnsi="Times New Roman" w:eastAsia="仿宋_GB2312"/>
                <w:sz w:val="24"/>
                <w:szCs w:val="24"/>
              </w:rPr>
            </w:pPr>
          </w:p>
          <w:p/>
          <w:p/>
          <w:p/>
          <w:p/>
          <w:p/>
          <w:p/>
          <w:p/>
          <w:p>
            <w:pPr>
              <w:spacing w:line="560" w:lineRule="exact"/>
              <w:jc w:val="center"/>
              <w:rPr>
                <w:rFonts w:hint="eastAsia"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widowControl/>
              <w:spacing w:line="560" w:lineRule="exact"/>
              <w:rPr>
                <w:rFonts w:ascii="Times New Roman" w:hAnsi="Times New Roman" w:eastAsia="仿宋_GB2312"/>
                <w:sz w:val="24"/>
                <w:szCs w:val="24"/>
              </w:rPr>
            </w:pPr>
            <w:r>
              <w:rPr>
                <w:rFonts w:ascii="Times New Roman" w:hAnsi="Times New Roman" w:eastAsia="仿宋_GB2312"/>
                <w:sz w:val="24"/>
                <w:szCs w:val="24"/>
              </w:rPr>
              <w:t>高数（一）</w:t>
            </w:r>
          </w:p>
          <w:p>
            <w:pPr>
              <w:widowControl/>
              <w:spacing w:line="560" w:lineRule="exact"/>
              <w:rPr>
                <w:rFonts w:ascii="Times New Roman" w:hAnsi="Times New Roman" w:eastAsia="仿宋_GB2312"/>
                <w:sz w:val="24"/>
                <w:szCs w:val="24"/>
              </w:rPr>
            </w:pPr>
          </w:p>
        </w:tc>
      </w:tr>
    </w:tbl>
    <w:p>
      <w:pPr>
        <w:spacing w:line="560" w:lineRule="exact"/>
        <w:rPr>
          <w:rFonts w:ascii="Times New Roman" w:hAnsi="Times New Roman" w:eastAsia="仿宋_GB2312"/>
          <w:sz w:val="24"/>
          <w:szCs w:val="24"/>
        </w:rPr>
      </w:pPr>
      <w:r>
        <w:rPr>
          <w:rFonts w:ascii="Times New Roman" w:hAnsi="Times New Roman" w:eastAsia="仿宋_GB2312"/>
          <w:sz w:val="24"/>
          <w:szCs w:val="24"/>
        </w:rPr>
        <w:t xml:space="preserve"> </w:t>
      </w:r>
    </w:p>
    <w:p>
      <w:pPr>
        <w:spacing w:line="560" w:lineRule="exact"/>
        <w:rPr>
          <w:rFonts w:ascii="Times New Roman" w:hAnsi="Times New Roman" w:eastAsia="仿宋_GB2312"/>
          <w:sz w:val="24"/>
          <w:szCs w:val="24"/>
        </w:rPr>
      </w:pPr>
      <w:r>
        <w:rPr>
          <w:rFonts w:ascii="Times New Roman" w:hAnsi="Times New Roman" w:eastAsia="仿宋_GB2312"/>
          <w:sz w:val="24"/>
          <w:szCs w:val="24"/>
        </w:rPr>
        <w:t>四、经济学、管理学以及生物科学类、地理科学类、心理学类、药学类等</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8"/>
        <w:gridCol w:w="1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08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招    生    专    业</w:t>
            </w:r>
          </w:p>
        </w:tc>
        <w:tc>
          <w:tcPr>
            <w:tcW w:w="1312"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7088" w:type="dxa"/>
            <w:tcBorders>
              <w:top w:val="single" w:color="auto" w:sz="4" w:space="0"/>
              <w:left w:val="single" w:color="auto" w:sz="4" w:space="0"/>
              <w:bottom w:val="single" w:color="auto" w:sz="4" w:space="0"/>
              <w:right w:val="single" w:color="auto" w:sz="4" w:space="0"/>
            </w:tcBorders>
            <w:noWrap w:val="0"/>
            <w:vAlign w:val="top"/>
          </w:tcPr>
          <w:tbl>
            <w:tblPr>
              <w:tblStyle w:val="7"/>
              <w:tblW w:w="0" w:type="auto"/>
              <w:tblInd w:w="108" w:type="dxa"/>
              <w:tblLayout w:type="fixed"/>
              <w:tblCellMar>
                <w:top w:w="0" w:type="dxa"/>
                <w:left w:w="108" w:type="dxa"/>
                <w:bottom w:w="0" w:type="dxa"/>
                <w:right w:w="108" w:type="dxa"/>
              </w:tblCellMar>
            </w:tblPr>
            <w:tblGrid>
              <w:gridCol w:w="900"/>
              <w:gridCol w:w="2320"/>
              <w:gridCol w:w="900"/>
              <w:gridCol w:w="2435"/>
            </w:tblGrid>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rPr>
                    <w:t>020101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经济学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020102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经济统计学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020103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国民经济管理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020104</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资源与环境经济学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020105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商务经济学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020106</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能源经济</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020107</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劳动经济学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020201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财政学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020202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税收学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金融学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金融工程</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020303</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保险学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投资学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020305</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金融数学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020306</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信用管理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020307</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经济与金融</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020308</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精算学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020309</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互联网金融</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020401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国际经济与贸易</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020402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贸易经济</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070501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地理科学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070502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自然地理与资源环境</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070503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人文地理与城乡规划</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070504</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地理信息科学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070903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地球信息科学与技术</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071001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生物科学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071002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生物技术</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071003</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生物信息学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071004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生态学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071101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心理学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071102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应用心理学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071201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统计学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071202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应用统计学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080209</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机械工艺技术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080211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机电技术教育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080212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汽车维修工程教育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082503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环境科学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082504</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环境生态工程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082506</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资源环境科学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082707</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食品营养与检验教育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082708</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烹饪与营养教育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090110</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农艺教育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090111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园艺教育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090403</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动植物检疫</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100701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药学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100702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药物制剂</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100703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临床药学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100704</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药事管理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100705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药物分析</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100706</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药物化学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100707</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海洋药学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100802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中药资源与开发</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120101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管理科学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120102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信息管理与信息系统</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120103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工程管理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120104</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房地产开发与管理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120105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工程造价</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120107</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邮政管理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工商管理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市场营销</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会计学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120204</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财务管理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国际商务</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120206</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人力资源管理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120207</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审计学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120208</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资产评估</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120209</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物业管理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120210</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文化产业管理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120211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劳动关系</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120212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体育经济与管理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120213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财务会计教育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120214</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市场营销教育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120215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零售业管理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120301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农林经济管理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120302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农村区域发展</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公共事业管理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行政管理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120403</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劳动与社会保障</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土地资源管理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120405</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城市管理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120406</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海关管理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120407</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交通管理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120408</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海事管理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120409</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公共关系学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120410</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健康服务与管理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120411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海警后勤管理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120501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图书馆学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120502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档案学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120503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信息资源管理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120601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物流管理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120602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物流工程</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120603</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采购管理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120701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工业工程</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120702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标准化工程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120703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质量管理工程</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120801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电子商务</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120802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电子商务及法律</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120901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旅游管理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120902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酒店管理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120903</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会展经济与管理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120904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旅游管理与服务教育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320101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区域经济开发与管理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420201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网络营销与管理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420401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城市公共安全管理</w:t>
                  </w:r>
                </w:p>
              </w:tc>
            </w:tr>
          </w:tbl>
          <w:p>
            <w:pPr>
              <w:spacing w:line="560" w:lineRule="exact"/>
              <w:rPr>
                <w:rFonts w:ascii="Times New Roman" w:hAnsi="Times New Roman" w:eastAsia="仿宋_GB2312"/>
                <w:sz w:val="24"/>
                <w:szCs w:val="24"/>
              </w:rPr>
            </w:pPr>
          </w:p>
        </w:tc>
        <w:tc>
          <w:tcPr>
            <w:tcW w:w="1312"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p>
          <w:p/>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rPr>
                <w:rFonts w:ascii="Times New Roman" w:hAnsi="Times New Roman" w:eastAsia="仿宋_GB2312"/>
                <w:sz w:val="24"/>
                <w:szCs w:val="24"/>
              </w:rPr>
            </w:pPr>
            <w:r>
              <w:rPr>
                <w:rFonts w:ascii="Times New Roman" w:hAnsi="Times New Roman" w:eastAsia="仿宋_GB2312"/>
                <w:sz w:val="24"/>
                <w:szCs w:val="24"/>
              </w:rPr>
              <w:t>高数（二）</w:t>
            </w: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rPr>
                <w:rFonts w:ascii="Times New Roman" w:hAnsi="Times New Roman" w:eastAsia="仿宋_GB2312"/>
                <w:sz w:val="24"/>
                <w:szCs w:val="24"/>
              </w:rPr>
            </w:pPr>
            <w:r>
              <w:rPr>
                <w:rFonts w:ascii="Times New Roman" w:hAnsi="Times New Roman" w:eastAsia="仿宋_GB2312"/>
                <w:sz w:val="24"/>
                <w:szCs w:val="24"/>
              </w:rPr>
              <w:t>高数（二）</w:t>
            </w: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rPr>
                <w:rFonts w:ascii="Times New Roman" w:hAnsi="Times New Roman" w:eastAsia="仿宋_GB2312"/>
                <w:sz w:val="24"/>
                <w:szCs w:val="24"/>
              </w:rPr>
            </w:pPr>
            <w:r>
              <w:rPr>
                <w:rFonts w:ascii="Times New Roman" w:hAnsi="Times New Roman" w:eastAsia="仿宋_GB2312"/>
                <w:sz w:val="24"/>
                <w:szCs w:val="24"/>
              </w:rPr>
              <w:t>高数（二）</w:t>
            </w:r>
          </w:p>
          <w:p>
            <w:pPr>
              <w:spacing w:line="560" w:lineRule="exact"/>
              <w:rPr>
                <w:rFonts w:ascii="Times New Roman" w:hAnsi="Times New Roman" w:eastAsia="仿宋_GB2312"/>
                <w:sz w:val="24"/>
                <w:szCs w:val="24"/>
              </w:rPr>
            </w:pPr>
          </w:p>
        </w:tc>
      </w:tr>
    </w:tbl>
    <w:p>
      <w:pPr>
        <w:spacing w:line="560" w:lineRule="exact"/>
        <w:rPr>
          <w:rFonts w:ascii="Times New Roman" w:hAnsi="Times New Roman" w:eastAsia="仿宋_GB2312"/>
          <w:sz w:val="24"/>
          <w:szCs w:val="24"/>
        </w:rPr>
      </w:pPr>
      <w:r>
        <w:rPr>
          <w:rFonts w:ascii="Times New Roman" w:hAnsi="Times New Roman" w:eastAsia="仿宋_GB2312"/>
          <w:sz w:val="24"/>
          <w:szCs w:val="24"/>
        </w:rPr>
        <w:t>五、法学</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8"/>
        <w:gridCol w:w="1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08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招    生    专    业</w:t>
            </w:r>
          </w:p>
        </w:tc>
        <w:tc>
          <w:tcPr>
            <w:tcW w:w="1312"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8" w:type="dxa"/>
            <w:tcBorders>
              <w:top w:val="single" w:color="auto" w:sz="4" w:space="0"/>
              <w:left w:val="single" w:color="auto" w:sz="4" w:space="0"/>
              <w:bottom w:val="single" w:color="auto" w:sz="4" w:space="0"/>
              <w:right w:val="single" w:color="auto" w:sz="4" w:space="0"/>
            </w:tcBorders>
            <w:noWrap w:val="0"/>
            <w:vAlign w:val="top"/>
          </w:tcPr>
          <w:tbl>
            <w:tblPr>
              <w:tblStyle w:val="7"/>
              <w:tblW w:w="0" w:type="auto"/>
              <w:tblInd w:w="108" w:type="dxa"/>
              <w:tblLayout w:type="fixed"/>
              <w:tblCellMar>
                <w:top w:w="0" w:type="dxa"/>
                <w:left w:w="108" w:type="dxa"/>
                <w:bottom w:w="0" w:type="dxa"/>
                <w:right w:w="108" w:type="dxa"/>
              </w:tblCellMar>
            </w:tblPr>
            <w:tblGrid>
              <w:gridCol w:w="900"/>
              <w:gridCol w:w="2320"/>
              <w:gridCol w:w="900"/>
              <w:gridCol w:w="2560"/>
            </w:tblGrid>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rPr>
                    <w:t>030101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法学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030102</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知识产权</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030103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监狱学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030201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政治学与行政学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030202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国际政治</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030203</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外交学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030204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国际事务与国际关系</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030205</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政治学、经济学与哲学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030301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社会学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030302</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社会工作</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030303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人类学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030304</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女性学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030305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家政学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030501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科学社会主义</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030502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中国共产党历史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030503</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思想政治教育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治安学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030602</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侦查学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边防管理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030604</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禁毒学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警犬技术</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030606</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经济犯罪侦查</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030607</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边防指挥</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030608</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消防指挥</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030609</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警卫学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030610</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公安情报学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030611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犯罪学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030612</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公安管理学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030613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涉外警务</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030614</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国内安全保卫</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030615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警务指挥与战术</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030616</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技术侦查学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030617</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海警执法</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083107</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火灾勘查</w:t>
                  </w:r>
                </w:p>
              </w:tc>
            </w:tr>
            <w:tr>
              <w:tblPrEx>
                <w:tblCellMar>
                  <w:top w:w="0" w:type="dxa"/>
                  <w:left w:w="108" w:type="dxa"/>
                  <w:bottom w:w="0" w:type="dxa"/>
                  <w:right w:w="108" w:type="dxa"/>
                </w:tblCellMar>
              </w:tblPrEx>
              <w:trPr>
                <w:gridAfter w:val="2"/>
                <w:wAfter w:w="3460" w:type="dxa"/>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330101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监所管理</w:t>
                  </w:r>
                </w:p>
              </w:tc>
            </w:tr>
          </w:tbl>
          <w:p>
            <w:pPr>
              <w:spacing w:line="560" w:lineRule="exact"/>
              <w:rPr>
                <w:rFonts w:ascii="Times New Roman" w:hAnsi="Times New Roman" w:eastAsia="仿宋_GB2312"/>
                <w:sz w:val="24"/>
                <w:szCs w:val="24"/>
              </w:rPr>
            </w:pPr>
          </w:p>
        </w:tc>
        <w:tc>
          <w:tcPr>
            <w:tcW w:w="1312"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widowControl/>
              <w:spacing w:line="560" w:lineRule="exact"/>
              <w:jc w:val="center"/>
              <w:rPr>
                <w:rFonts w:ascii="Times New Roman" w:hAnsi="Times New Roman" w:eastAsia="仿宋_GB2312"/>
                <w:sz w:val="24"/>
                <w:szCs w:val="24"/>
              </w:rPr>
            </w:pPr>
            <w:r>
              <w:rPr>
                <w:rFonts w:ascii="Times New Roman" w:hAnsi="Times New Roman" w:eastAsia="仿宋_GB2312"/>
                <w:sz w:val="24"/>
                <w:szCs w:val="24"/>
              </w:rPr>
              <w:t>民法</w:t>
            </w: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民法</w:t>
            </w:r>
          </w:p>
        </w:tc>
      </w:tr>
    </w:tbl>
    <w:p>
      <w:pPr>
        <w:spacing w:line="560" w:lineRule="exact"/>
        <w:rPr>
          <w:rFonts w:ascii="Times New Roman" w:hAnsi="Times New Roman" w:eastAsia="仿宋_GB2312"/>
          <w:sz w:val="24"/>
          <w:szCs w:val="24"/>
        </w:rPr>
      </w:pPr>
      <w:r>
        <w:rPr>
          <w:rFonts w:ascii="Times New Roman" w:hAnsi="Times New Roman" w:eastAsia="仿宋_GB2312"/>
          <w:sz w:val="24"/>
          <w:szCs w:val="24"/>
        </w:rPr>
        <w:t xml:space="preserve"> </w:t>
      </w:r>
    </w:p>
    <w:p>
      <w:pPr>
        <w:spacing w:line="560" w:lineRule="exact"/>
        <w:rPr>
          <w:rFonts w:ascii="Times New Roman" w:hAnsi="Times New Roman" w:eastAsia="仿宋_GB2312"/>
          <w:sz w:val="24"/>
          <w:szCs w:val="24"/>
        </w:rPr>
      </w:pPr>
      <w:r>
        <w:rPr>
          <w:rFonts w:ascii="Times New Roman" w:hAnsi="Times New Roman" w:eastAsia="仿宋_GB2312"/>
          <w:sz w:val="24"/>
          <w:szCs w:val="24"/>
        </w:rPr>
        <w:t>六、教育学</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8"/>
        <w:gridCol w:w="13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8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招    生    专    业</w:t>
            </w:r>
          </w:p>
        </w:tc>
        <w:tc>
          <w:tcPr>
            <w:tcW w:w="1353"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8" w:type="dxa"/>
            <w:tcBorders>
              <w:top w:val="single" w:color="auto" w:sz="4" w:space="0"/>
              <w:left w:val="single" w:color="auto" w:sz="4" w:space="0"/>
              <w:bottom w:val="single" w:color="auto" w:sz="4" w:space="0"/>
              <w:right w:val="single" w:color="auto" w:sz="4" w:space="0"/>
            </w:tcBorders>
            <w:noWrap w:val="0"/>
            <w:vAlign w:val="top"/>
          </w:tcPr>
          <w:tbl>
            <w:tblPr>
              <w:tblStyle w:val="7"/>
              <w:tblW w:w="0" w:type="auto"/>
              <w:tblInd w:w="108" w:type="dxa"/>
              <w:tblLayout w:type="fixed"/>
              <w:tblCellMar>
                <w:top w:w="0" w:type="dxa"/>
                <w:left w:w="108" w:type="dxa"/>
                <w:bottom w:w="0" w:type="dxa"/>
                <w:right w:w="108" w:type="dxa"/>
              </w:tblCellMar>
            </w:tblPr>
            <w:tblGrid>
              <w:gridCol w:w="900"/>
              <w:gridCol w:w="2320"/>
              <w:gridCol w:w="900"/>
              <w:gridCol w:w="2560"/>
            </w:tblGrid>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rPr>
                    <w:t>040101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教育学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040102</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科学教育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人文教育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040104</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教育技术学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040105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艺术教育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040106</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学前教育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040107</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小学教育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040108</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特殊教育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040109</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华文教育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040110</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教育康复学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040111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卫生教育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040201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体育教育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040202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运动训练</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040203</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社会体育指导与管理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040204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武术与民族传统体育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040205</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运动人体科学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040206</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运动康复</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040207</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休闲体育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340101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教育管理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340102</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心理健康教育</w:t>
                  </w:r>
                </w:p>
              </w:tc>
            </w:tr>
            <w:tr>
              <w:tblPrEx>
                <w:tblCellMar>
                  <w:top w:w="0" w:type="dxa"/>
                  <w:left w:w="108" w:type="dxa"/>
                  <w:bottom w:w="0" w:type="dxa"/>
                  <w:right w:w="108" w:type="dxa"/>
                </w:tblCellMar>
              </w:tblPrEx>
              <w:trPr>
                <w:gridAfter w:val="2"/>
                <w:wAfter w:w="3460" w:type="dxa"/>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340103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双语教育</w:t>
                  </w:r>
                </w:p>
              </w:tc>
            </w:tr>
          </w:tbl>
          <w:p>
            <w:pPr>
              <w:spacing w:line="560" w:lineRule="exact"/>
              <w:rPr>
                <w:rFonts w:ascii="Times New Roman" w:hAnsi="Times New Roman" w:eastAsia="仿宋_GB2312"/>
                <w:sz w:val="24"/>
                <w:szCs w:val="24"/>
              </w:rPr>
            </w:pPr>
          </w:p>
        </w:tc>
        <w:tc>
          <w:tcPr>
            <w:tcW w:w="1353"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widowControl/>
              <w:spacing w:line="560" w:lineRule="exact"/>
              <w:jc w:val="center"/>
              <w:rPr>
                <w:rFonts w:ascii="Times New Roman" w:hAnsi="Times New Roman" w:eastAsia="仿宋_GB2312"/>
                <w:sz w:val="24"/>
                <w:szCs w:val="24"/>
              </w:rPr>
            </w:pPr>
            <w:r>
              <w:rPr>
                <w:rFonts w:ascii="Times New Roman" w:hAnsi="Times New Roman" w:eastAsia="仿宋_GB2312"/>
                <w:sz w:val="24"/>
                <w:szCs w:val="24"/>
              </w:rPr>
              <w:t>教育理论</w:t>
            </w:r>
          </w:p>
          <w:p>
            <w:pPr>
              <w:widowControl/>
              <w:spacing w:line="560" w:lineRule="exact"/>
              <w:jc w:val="center"/>
              <w:rPr>
                <w:rFonts w:ascii="Times New Roman" w:hAnsi="Times New Roman" w:eastAsia="仿宋_GB2312"/>
                <w:sz w:val="24"/>
                <w:szCs w:val="24"/>
              </w:rPr>
            </w:pPr>
          </w:p>
          <w:p>
            <w:pPr>
              <w:widowControl/>
              <w:spacing w:line="560" w:lineRule="exact"/>
              <w:jc w:val="center"/>
              <w:rPr>
                <w:rFonts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widowControl/>
              <w:spacing w:line="560" w:lineRule="exact"/>
              <w:jc w:val="center"/>
              <w:rPr>
                <w:rFonts w:ascii="Times New Roman" w:hAnsi="Times New Roman" w:eastAsia="仿宋_GB2312"/>
                <w:sz w:val="24"/>
                <w:szCs w:val="24"/>
              </w:rPr>
            </w:pPr>
            <w:r>
              <w:rPr>
                <w:rFonts w:ascii="Times New Roman" w:hAnsi="Times New Roman" w:eastAsia="仿宋_GB2312"/>
                <w:sz w:val="24"/>
                <w:szCs w:val="24"/>
              </w:rPr>
              <w:t>教育理论</w:t>
            </w:r>
          </w:p>
        </w:tc>
      </w:tr>
    </w:tbl>
    <w:p>
      <w:pPr>
        <w:spacing w:line="560" w:lineRule="exact"/>
        <w:rPr>
          <w:rFonts w:ascii="Times New Roman" w:hAnsi="Times New Roman" w:eastAsia="仿宋_GB2312"/>
          <w:sz w:val="24"/>
          <w:szCs w:val="24"/>
        </w:rPr>
      </w:pPr>
      <w:r>
        <w:rPr>
          <w:rFonts w:ascii="Times New Roman" w:hAnsi="Times New Roman" w:eastAsia="仿宋_GB2312"/>
          <w:sz w:val="24"/>
          <w:szCs w:val="24"/>
        </w:rPr>
        <w:t xml:space="preserve"> </w:t>
      </w:r>
    </w:p>
    <w:p>
      <w:pPr>
        <w:spacing w:line="560" w:lineRule="exact"/>
        <w:rPr>
          <w:rFonts w:ascii="Times New Roman" w:hAnsi="Times New Roman" w:eastAsia="仿宋_GB2312"/>
          <w:sz w:val="24"/>
          <w:szCs w:val="24"/>
        </w:rPr>
      </w:pPr>
      <w:r>
        <w:rPr>
          <w:rFonts w:ascii="Times New Roman" w:hAnsi="Times New Roman" w:eastAsia="仿宋_GB2312"/>
          <w:sz w:val="24"/>
          <w:szCs w:val="24"/>
        </w:rPr>
        <w:t>七、农学</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8"/>
        <w:gridCol w:w="1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708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招    生    专    业</w:t>
            </w:r>
          </w:p>
        </w:tc>
        <w:tc>
          <w:tcPr>
            <w:tcW w:w="1312"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8" w:type="dxa"/>
            <w:tcBorders>
              <w:top w:val="single" w:color="auto" w:sz="4" w:space="0"/>
              <w:left w:val="single" w:color="auto" w:sz="4" w:space="0"/>
              <w:bottom w:val="single" w:color="auto" w:sz="4" w:space="0"/>
              <w:right w:val="single" w:color="auto" w:sz="4" w:space="0"/>
            </w:tcBorders>
            <w:noWrap w:val="0"/>
            <w:vAlign w:val="top"/>
          </w:tcPr>
          <w:tbl>
            <w:tblPr>
              <w:tblStyle w:val="7"/>
              <w:tblW w:w="0" w:type="auto"/>
              <w:tblInd w:w="108" w:type="dxa"/>
              <w:tblLayout w:type="fixed"/>
              <w:tblCellMar>
                <w:top w:w="0" w:type="dxa"/>
                <w:left w:w="108" w:type="dxa"/>
                <w:bottom w:w="0" w:type="dxa"/>
                <w:right w:w="108" w:type="dxa"/>
              </w:tblCellMar>
            </w:tblPr>
            <w:tblGrid>
              <w:gridCol w:w="885"/>
              <w:gridCol w:w="2835"/>
              <w:gridCol w:w="940"/>
              <w:gridCol w:w="2548"/>
            </w:tblGrid>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rPr>
                    <w:t>090101</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农学</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090102</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园艺</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090103</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植物保护</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090104</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植物科学与技术</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090105</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种子科学与工程</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090106</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设施农业科学与工程</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090107</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茶学</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090108</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烟草</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090109</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应用生物科学</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090201</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农业资源与环境</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090202</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野生动物与自然保护区管理</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090203</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水土保持与荒漠化防治</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090301</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动物科学</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090302</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蚕学</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090303</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蜂学</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090401</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动物医学</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090402</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动物药学</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090501</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林学</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090502</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园林</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090503</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森林保护</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090601</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水产养殖学</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090602</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海洋渔业科学与技术</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090603</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水族科学与技术</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090604</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水生动物医学</w:t>
                  </w:r>
                </w:p>
              </w:tc>
            </w:tr>
            <w:tr>
              <w:tblPrEx>
                <w:tblCellMar>
                  <w:top w:w="0" w:type="dxa"/>
                  <w:left w:w="108" w:type="dxa"/>
                  <w:bottom w:w="0" w:type="dxa"/>
                  <w:right w:w="108" w:type="dxa"/>
                </w:tblCellMar>
              </w:tblPrEx>
              <w:trPr>
                <w:gridAfter w:val="2"/>
                <w:wAfter w:w="3488" w:type="dxa"/>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090701</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草业科学</w:t>
                  </w:r>
                </w:p>
              </w:tc>
            </w:tr>
          </w:tbl>
          <w:p>
            <w:pPr>
              <w:spacing w:line="560" w:lineRule="exact"/>
              <w:rPr>
                <w:rFonts w:ascii="Times New Roman" w:hAnsi="Times New Roman" w:eastAsia="仿宋_GB2312"/>
                <w:sz w:val="24"/>
                <w:szCs w:val="24"/>
              </w:rPr>
            </w:pPr>
          </w:p>
        </w:tc>
        <w:tc>
          <w:tcPr>
            <w:tcW w:w="1312" w:type="dxa"/>
            <w:tcBorders>
              <w:top w:val="single" w:color="auto" w:sz="4" w:space="0"/>
              <w:left w:val="nil"/>
              <w:bottom w:val="single" w:color="auto" w:sz="4" w:space="0"/>
              <w:right w:val="single" w:color="auto" w:sz="4" w:space="0"/>
            </w:tcBorders>
            <w:noWrap w:val="0"/>
            <w:vAlign w:val="top"/>
          </w:tcPr>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r>
              <w:rPr>
                <w:rFonts w:ascii="Times New Roman" w:hAnsi="Times New Roman" w:eastAsia="仿宋_GB2312"/>
                <w:sz w:val="24"/>
                <w:szCs w:val="24"/>
              </w:rPr>
              <w:t xml:space="preserve">   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生态学</w:t>
            </w: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基础</w:t>
            </w:r>
          </w:p>
        </w:tc>
      </w:tr>
    </w:tbl>
    <w:p>
      <w:pPr>
        <w:spacing w:line="560" w:lineRule="exact"/>
        <w:rPr>
          <w:rFonts w:hint="eastAsia" w:ascii="Times New Roman" w:hAnsi="Times New Roman" w:eastAsia="仿宋_GB2312"/>
          <w:sz w:val="24"/>
          <w:szCs w:val="24"/>
        </w:rPr>
      </w:pPr>
      <w:r>
        <w:rPr>
          <w:rFonts w:ascii="Times New Roman" w:hAnsi="Times New Roman" w:eastAsia="仿宋_GB2312"/>
          <w:sz w:val="24"/>
          <w:szCs w:val="24"/>
        </w:rPr>
        <w:t xml:space="preserve"> </w:t>
      </w:r>
    </w:p>
    <w:p>
      <w:pPr>
        <w:pStyle w:val="2"/>
        <w:spacing w:line="560" w:lineRule="exact"/>
        <w:rPr>
          <w:rFonts w:hint="eastAsia"/>
        </w:rPr>
      </w:pPr>
    </w:p>
    <w:p>
      <w:pPr>
        <w:spacing w:line="240" w:lineRule="auto"/>
        <w:rPr>
          <w:rFonts w:hint="eastAsia"/>
        </w:rPr>
      </w:pPr>
    </w:p>
    <w:p>
      <w:pPr>
        <w:pStyle w:val="2"/>
        <w:spacing w:line="560" w:lineRule="exact"/>
        <w:rPr>
          <w:rFonts w:ascii="Cambria" w:hAnsi="Cambria" w:eastAsia="宋体"/>
          <w:sz w:val="24"/>
          <w:szCs w:val="24"/>
        </w:rPr>
      </w:pPr>
    </w:p>
    <w:p>
      <w:pPr>
        <w:spacing w:line="560" w:lineRule="exact"/>
        <w:rPr>
          <w:rFonts w:ascii="Times New Roman" w:hAnsi="Times New Roman" w:eastAsia="仿宋_GB2312"/>
          <w:sz w:val="24"/>
          <w:szCs w:val="24"/>
        </w:rPr>
      </w:pPr>
      <w:r>
        <w:rPr>
          <w:rFonts w:ascii="Times New Roman" w:hAnsi="Times New Roman" w:eastAsia="仿宋_GB2312"/>
          <w:sz w:val="24"/>
          <w:szCs w:val="24"/>
        </w:rPr>
        <w:t>八、医学（中医学类、药学类等两个一级学科除外）</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8"/>
        <w:gridCol w:w="1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08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招    生    专    业</w:t>
            </w:r>
          </w:p>
        </w:tc>
        <w:tc>
          <w:tcPr>
            <w:tcW w:w="1312"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8" w:type="dxa"/>
            <w:tcBorders>
              <w:top w:val="single" w:color="auto" w:sz="4" w:space="0"/>
              <w:left w:val="single" w:color="auto" w:sz="4" w:space="0"/>
              <w:bottom w:val="single" w:color="auto" w:sz="4" w:space="0"/>
              <w:right w:val="single" w:color="auto" w:sz="4" w:space="0"/>
            </w:tcBorders>
            <w:noWrap w:val="0"/>
            <w:vAlign w:val="top"/>
          </w:tcPr>
          <w:tbl>
            <w:tblPr>
              <w:tblStyle w:val="7"/>
              <w:tblW w:w="0" w:type="auto"/>
              <w:tblInd w:w="108" w:type="dxa"/>
              <w:tblLayout w:type="fixed"/>
              <w:tblCellMar>
                <w:top w:w="0" w:type="dxa"/>
                <w:left w:w="108" w:type="dxa"/>
                <w:bottom w:w="0" w:type="dxa"/>
                <w:right w:w="108" w:type="dxa"/>
              </w:tblCellMar>
            </w:tblPr>
            <w:tblGrid>
              <w:gridCol w:w="900"/>
              <w:gridCol w:w="2320"/>
              <w:gridCol w:w="900"/>
              <w:gridCol w:w="2560"/>
            </w:tblGrid>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rPr>
                    <w:t>100101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基础医学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100102</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生物医学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100103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生物医学科学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100201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临床医学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100202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麻醉学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100203</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医学影像学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100204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眼视光医学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100205</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精神医学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100206</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放射医学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100207</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儿科学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100301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口腔医学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100401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预防医学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100402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食品卫生与营养学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100403</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妇幼保健医学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100404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卫生监督</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100405</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全球健康学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100508</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傣医学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100509</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回医学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100510</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中医康复学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100511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中医养生学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100512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中医儿科学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100601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中西医临床医学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100901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法医学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医学检验技术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医学实验技术</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101003</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医学影像技术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眼视光学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101005</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康复治疗学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101006</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口腔医学技术</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101007</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卫生检验与检疫</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101008</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听力与言语康复学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101009</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康复物理治疗</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101010</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康复作业治疗</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101101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护理学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101102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助产学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401101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社区护理学</w:t>
                  </w:r>
                </w:p>
              </w:tc>
            </w:tr>
          </w:tbl>
          <w:p>
            <w:pPr>
              <w:spacing w:line="560" w:lineRule="exact"/>
              <w:rPr>
                <w:rFonts w:ascii="Times New Roman" w:hAnsi="Times New Roman" w:eastAsia="仿宋_GB2312"/>
                <w:sz w:val="24"/>
                <w:szCs w:val="24"/>
              </w:rPr>
            </w:pPr>
          </w:p>
        </w:tc>
        <w:tc>
          <w:tcPr>
            <w:tcW w:w="1312" w:type="dxa"/>
            <w:tcBorders>
              <w:top w:val="single" w:color="auto" w:sz="4" w:space="0"/>
              <w:left w:val="nil"/>
              <w:bottom w:val="single" w:color="auto" w:sz="4" w:space="0"/>
              <w:right w:val="single" w:color="auto" w:sz="4" w:space="0"/>
            </w:tcBorders>
            <w:noWrap w:val="0"/>
            <w:vAlign w:val="top"/>
          </w:tcPr>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widowControl/>
              <w:spacing w:line="560" w:lineRule="exact"/>
              <w:jc w:val="center"/>
              <w:rPr>
                <w:rFonts w:ascii="Times New Roman" w:hAnsi="Times New Roman" w:eastAsia="仿宋_GB2312"/>
                <w:sz w:val="24"/>
                <w:szCs w:val="24"/>
              </w:rPr>
            </w:pPr>
          </w:p>
          <w:p>
            <w:pPr>
              <w:widowControl/>
              <w:spacing w:line="560" w:lineRule="exact"/>
              <w:jc w:val="center"/>
              <w:rPr>
                <w:rFonts w:ascii="Times New Roman" w:hAnsi="Times New Roman" w:eastAsia="仿宋_GB2312"/>
                <w:sz w:val="24"/>
                <w:szCs w:val="24"/>
              </w:rPr>
            </w:pPr>
            <w:r>
              <w:rPr>
                <w:rFonts w:ascii="Times New Roman" w:hAnsi="Times New Roman" w:eastAsia="仿宋_GB2312"/>
                <w:sz w:val="24"/>
                <w:szCs w:val="24"/>
              </w:rPr>
              <w:t>医学综合</w:t>
            </w:r>
          </w:p>
        </w:tc>
      </w:tr>
    </w:tbl>
    <w:p>
      <w:pPr>
        <w:tabs>
          <w:tab w:val="left" w:pos="1895"/>
        </w:tabs>
        <w:spacing w:line="360" w:lineRule="exact"/>
        <w:rPr>
          <w:rFonts w:ascii="Times New Roman" w:hAnsi="Times New Roman" w:eastAsia="仿宋"/>
          <w:sz w:val="28"/>
          <w:szCs w:val="28"/>
        </w:rPr>
      </w:pPr>
    </w:p>
    <w:p/>
    <w:p>
      <w:pPr>
        <w:tabs>
          <w:tab w:val="left" w:pos="1895"/>
        </w:tabs>
        <w:spacing w:line="360" w:lineRule="exact"/>
        <w:rPr>
          <w:rFonts w:ascii="Times New Roman" w:hAnsi="Times New Roman" w:eastAsia="仿宋"/>
          <w:sz w:val="28"/>
          <w:szCs w:val="28"/>
        </w:rPr>
      </w:pPr>
    </w:p>
    <w:p>
      <w:pPr>
        <w:tabs>
          <w:tab w:val="left" w:pos="1895"/>
        </w:tabs>
        <w:spacing w:line="360" w:lineRule="exact"/>
        <w:rPr>
          <w:rFonts w:hint="eastAsia" w:ascii="Times New Roman" w:hAnsi="Times New Roman" w:eastAsia="仿宋"/>
          <w:sz w:val="28"/>
          <w:szCs w:val="28"/>
        </w:rPr>
      </w:pPr>
    </w:p>
    <w:p>
      <w:pPr>
        <w:pStyle w:val="2"/>
        <w:tabs>
          <w:tab w:val="left" w:pos="1895"/>
        </w:tabs>
        <w:spacing w:line="360" w:lineRule="exact"/>
        <w:rPr>
          <w:rFonts w:hint="eastAsia"/>
        </w:rPr>
      </w:pPr>
    </w:p>
    <w:p>
      <w:pPr>
        <w:spacing w:line="240" w:lineRule="auto"/>
        <w:rPr>
          <w:rFonts w:hint="eastAsia"/>
        </w:rPr>
      </w:pPr>
    </w:p>
    <w:p>
      <w:pPr>
        <w:pStyle w:val="2"/>
        <w:tabs>
          <w:tab w:val="left" w:pos="1895"/>
        </w:tabs>
        <w:spacing w:line="360" w:lineRule="exact"/>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18030">
    <w:altName w:val="微软雅黑"/>
    <w:panose1 w:val="00000000000000000000"/>
    <w:charset w:val="86"/>
    <w:family w:val="auto"/>
    <w:pitch w:val="default"/>
    <w:sig w:usb0="00000000" w:usb1="00000000" w:usb2="0000001E" w:usb3="00000000" w:csb0="003C004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AB2B31"/>
    <w:multiLevelType w:val="singleLevel"/>
    <w:tmpl w:val="6DAB2B3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ZThmZDNlMGM2Mzk4ZWE0NGZmMzNhNzYxYTZkOWIifQ=="/>
  </w:docVars>
  <w:rsids>
    <w:rsidRoot w:val="707A6B3B"/>
    <w:rsid w:val="707A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toa heading1"/>
    <w:basedOn w:val="1"/>
    <w:next w:val="1"/>
    <w:qFormat/>
    <w:uiPriority w:val="0"/>
    <w:pPr>
      <w:spacing w:before="120"/>
    </w:pPr>
    <w:rPr>
      <w:rFonts w:ascii="Cambria" w:hAnsi="Cambria" w:cs="黑体"/>
      <w:sz w:val="24"/>
      <w:szCs w:val="24"/>
    </w:rPr>
  </w:style>
  <w:style w:type="paragraph" w:styleId="3">
    <w:name w:val="Body Text Indent"/>
    <w:basedOn w:val="1"/>
    <w:qFormat/>
    <w:uiPriority w:val="0"/>
    <w:pPr>
      <w:spacing w:line="520" w:lineRule="exact"/>
      <w:ind w:firstLine="480" w:firstLineChars="200"/>
    </w:pPr>
    <w:rPr>
      <w:rFonts w:ascii="宋体" w:hAnsi="宋体"/>
      <w:sz w:val="24"/>
      <w:szCs w:val="20"/>
    </w:rPr>
  </w:style>
  <w:style w:type="paragraph" w:styleId="4">
    <w:name w:val="Plain Text"/>
    <w:basedOn w:val="1"/>
    <w:unhideWhenUsed/>
    <w:qFormat/>
    <w:uiPriority w:val="99"/>
    <w:pPr>
      <w:autoSpaceDE w:val="0"/>
      <w:adjustRightInd w:val="0"/>
      <w:spacing w:line="312" w:lineRule="atLeast"/>
    </w:pPr>
    <w:rPr>
      <w:rFonts w:ascii="宋体" w:hAnsi="Courier New"/>
      <w:kern w:val="0"/>
      <w:szCs w:val="21"/>
    </w:rPr>
  </w:style>
  <w:style w:type="paragraph" w:styleId="5">
    <w:name w:val="footer"/>
    <w:basedOn w:val="1"/>
    <w:unhideWhenUsed/>
    <w:qFormat/>
    <w:uiPriority w:val="99"/>
    <w:pPr>
      <w:widowControl/>
      <w:jc w:val="left"/>
    </w:pPr>
    <w:rPr>
      <w:rFonts w:ascii="Arial" w:hAnsi="Arial"/>
      <w:kern w:val="0"/>
      <w:sz w:val="18"/>
      <w:szCs w:val="18"/>
    </w:rPr>
  </w:style>
  <w:style w:type="paragraph" w:styleId="6">
    <w:name w:val="Normal (Web)"/>
    <w:basedOn w:val="1"/>
    <w:unhideWhenUsed/>
    <w:qFormat/>
    <w:uiPriority w:val="99"/>
    <w:pPr>
      <w:widowControl/>
      <w:autoSpaceDE w:val="0"/>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2023-08-28T06:54:00Z</dcterms:created>
  <dc:creator>dell</dc:creator>
  <cp:lastModifiedBy>dell</cp:lastModifiedBy>
  <dcterms:modified xsi:type="dcterms:W3CDTF">2023-08-28T06:55:08Z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237EC8B9E6344F33A770850D11EF9C71_11</vt:lpwstr>
  </property>
</Properties>
</file>